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1E1" w:rsidRDefault="005761E1" w:rsidP="002811A9">
      <w:pPr>
        <w:jc w:val="center"/>
        <w:rPr>
          <w:rFonts w:hint="eastAsia"/>
          <w:kern w:val="0"/>
        </w:rPr>
      </w:pPr>
      <w:r w:rsidRPr="005761E1">
        <w:rPr>
          <w:rFonts w:hint="eastAsia"/>
          <w:kern w:val="0"/>
        </w:rPr>
        <w:t>2014</w:t>
      </w:r>
      <w:r w:rsidRPr="005761E1">
        <w:rPr>
          <w:rFonts w:hint="eastAsia"/>
          <w:kern w:val="0"/>
        </w:rPr>
        <w:t>年</w:t>
      </w:r>
      <w:r w:rsidRPr="005761E1">
        <w:rPr>
          <w:rFonts w:hint="eastAsia"/>
          <w:kern w:val="0"/>
        </w:rPr>
        <w:t>4</w:t>
      </w:r>
      <w:r w:rsidRPr="005761E1">
        <w:rPr>
          <w:rFonts w:hint="eastAsia"/>
          <w:kern w:val="0"/>
        </w:rPr>
        <w:t>月份规模以上工业增加值增长</w:t>
      </w:r>
      <w:r w:rsidRPr="005761E1">
        <w:rPr>
          <w:rFonts w:hint="eastAsia"/>
          <w:kern w:val="0"/>
        </w:rPr>
        <w:t>8.7%</w:t>
      </w:r>
    </w:p>
    <w:p w:rsidR="00E221DF" w:rsidRPr="005761E1" w:rsidRDefault="00E221DF" w:rsidP="002811A9">
      <w:pPr>
        <w:jc w:val="center"/>
        <w:rPr>
          <w:kern w:val="0"/>
        </w:rPr>
      </w:pPr>
      <w:r>
        <w:rPr>
          <w:rFonts w:hint="eastAsia"/>
          <w:color w:val="333333"/>
          <w:szCs w:val="21"/>
        </w:rPr>
        <w:t>来源：</w:t>
      </w:r>
      <w:r>
        <w:rPr>
          <w:rFonts w:hint="eastAsia"/>
          <w:color w:val="1F5781"/>
          <w:szCs w:val="21"/>
        </w:rPr>
        <w:t>国家统计局</w:t>
      </w:r>
    </w:p>
    <w:p w:rsidR="002811A9" w:rsidRPr="002811A9" w:rsidRDefault="002811A9" w:rsidP="002811A9">
      <w:pPr>
        <w:rPr>
          <w:kern w:val="0"/>
        </w:rPr>
      </w:pPr>
      <w:r w:rsidRPr="002811A9">
        <w:rPr>
          <w:kern w:val="0"/>
        </w:rPr>
        <w:t>2014</w:t>
      </w:r>
      <w:r w:rsidRPr="002811A9">
        <w:rPr>
          <w:rFonts w:hint="eastAsia"/>
          <w:kern w:val="0"/>
        </w:rPr>
        <w:t>年</w:t>
      </w:r>
      <w:r w:rsidRPr="002811A9">
        <w:rPr>
          <w:kern w:val="0"/>
        </w:rPr>
        <w:t>4</w:t>
      </w:r>
      <w:r w:rsidRPr="002811A9">
        <w:rPr>
          <w:rFonts w:hint="eastAsia"/>
          <w:kern w:val="0"/>
        </w:rPr>
        <w:t>月份，规模以上工业增加值同比实际增长</w:t>
      </w:r>
      <w:r w:rsidRPr="002811A9">
        <w:rPr>
          <w:kern w:val="0"/>
        </w:rPr>
        <w:t>8.7%</w:t>
      </w:r>
      <w:r w:rsidRPr="002811A9">
        <w:rPr>
          <w:rFonts w:hint="eastAsia"/>
          <w:kern w:val="0"/>
        </w:rPr>
        <w:t>（以下增加值增速均为扣除价格因素的实际增长率），比</w:t>
      </w:r>
      <w:r w:rsidRPr="002811A9">
        <w:rPr>
          <w:kern w:val="0"/>
        </w:rPr>
        <w:t>3</w:t>
      </w:r>
      <w:r w:rsidRPr="002811A9">
        <w:rPr>
          <w:rFonts w:hint="eastAsia"/>
          <w:kern w:val="0"/>
        </w:rPr>
        <w:t>月份回落</w:t>
      </w:r>
      <w:r w:rsidRPr="002811A9">
        <w:rPr>
          <w:kern w:val="0"/>
        </w:rPr>
        <w:t>0.1</w:t>
      </w:r>
      <w:r w:rsidRPr="002811A9">
        <w:rPr>
          <w:rFonts w:hint="eastAsia"/>
          <w:kern w:val="0"/>
        </w:rPr>
        <w:t>个百分点。从环比看，</w:t>
      </w:r>
      <w:r w:rsidRPr="002811A9">
        <w:rPr>
          <w:kern w:val="0"/>
        </w:rPr>
        <w:t>4</w:t>
      </w:r>
      <w:r w:rsidRPr="002811A9">
        <w:rPr>
          <w:rFonts w:hint="eastAsia"/>
          <w:kern w:val="0"/>
        </w:rPr>
        <w:t>月份比上月增长</w:t>
      </w:r>
      <w:r w:rsidRPr="002811A9">
        <w:rPr>
          <w:kern w:val="0"/>
        </w:rPr>
        <w:t>0.82%</w:t>
      </w:r>
      <w:r w:rsidRPr="002811A9">
        <w:rPr>
          <w:rFonts w:hint="eastAsia"/>
          <w:kern w:val="0"/>
        </w:rPr>
        <w:t>。</w:t>
      </w:r>
      <w:r w:rsidRPr="002811A9">
        <w:rPr>
          <w:kern w:val="0"/>
        </w:rPr>
        <w:t>1-4</w:t>
      </w:r>
      <w:r w:rsidRPr="002811A9">
        <w:rPr>
          <w:rFonts w:hint="eastAsia"/>
          <w:kern w:val="0"/>
        </w:rPr>
        <w:t>月份，规模以上工业增加值同比增长</w:t>
      </w:r>
      <w:r w:rsidRPr="002811A9">
        <w:rPr>
          <w:kern w:val="0"/>
        </w:rPr>
        <w:t>8.7%</w:t>
      </w:r>
      <w:r w:rsidRPr="002811A9">
        <w:rPr>
          <w:rFonts w:hint="eastAsia"/>
          <w:kern w:val="0"/>
        </w:rPr>
        <w:t>。</w:t>
      </w:r>
    </w:p>
    <w:p w:rsidR="002811A9" w:rsidRPr="002811A9" w:rsidRDefault="002811A9" w:rsidP="002811A9">
      <w:pPr>
        <w:rPr>
          <w:kern w:val="0"/>
        </w:rPr>
      </w:pPr>
      <w:r>
        <w:rPr>
          <w:noProof/>
          <w:kern w:val="0"/>
        </w:rPr>
        <w:drawing>
          <wp:inline distT="0" distB="0" distL="0" distR="0">
            <wp:extent cx="5324475" cy="3257550"/>
            <wp:effectExtent l="19050" t="0" r="9525" b="0"/>
            <wp:docPr id="1" name="图片 1" descr="http://www.stats.gov.cn/tjsj/zxfb/201405/W020140513406655626855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ats.gov.cn/tjsj/zxfb/201405/W020140513406655626855_r75.gif"/>
                    <pic:cNvPicPr>
                      <a:picLocks noChangeAspect="1" noChangeArrowheads="1"/>
                    </pic:cNvPicPr>
                  </pic:nvPicPr>
                  <pic:blipFill>
                    <a:blip r:embed="rId6"/>
                    <a:srcRect/>
                    <a:stretch>
                      <a:fillRect/>
                    </a:stretch>
                  </pic:blipFill>
                  <pic:spPr bwMode="auto">
                    <a:xfrm>
                      <a:off x="0" y="0"/>
                      <a:ext cx="5324475" cy="3257550"/>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rFonts w:hint="eastAsia"/>
          <w:kern w:val="0"/>
        </w:rPr>
        <w:t xml:space="preserve">　　分三大门类看，</w:t>
      </w:r>
      <w:r w:rsidRPr="002811A9">
        <w:rPr>
          <w:kern w:val="0"/>
        </w:rPr>
        <w:t>4</w:t>
      </w:r>
      <w:r w:rsidRPr="002811A9">
        <w:rPr>
          <w:rFonts w:hint="eastAsia"/>
          <w:kern w:val="0"/>
        </w:rPr>
        <w:t>月份，采矿业增加值同比增长</w:t>
      </w:r>
      <w:r w:rsidRPr="002811A9">
        <w:rPr>
          <w:kern w:val="0"/>
        </w:rPr>
        <w:t>4.5%</w:t>
      </w:r>
      <w:r w:rsidRPr="002811A9">
        <w:rPr>
          <w:rFonts w:hint="eastAsia"/>
          <w:kern w:val="0"/>
        </w:rPr>
        <w:t>，制造业增长</w:t>
      </w:r>
      <w:r w:rsidRPr="002811A9">
        <w:rPr>
          <w:kern w:val="0"/>
        </w:rPr>
        <w:t>9.8%</w:t>
      </w:r>
      <w:r w:rsidRPr="002811A9">
        <w:rPr>
          <w:rFonts w:hint="eastAsia"/>
          <w:kern w:val="0"/>
        </w:rPr>
        <w:t>，电力、热力、燃气及水生产和供应业增长</w:t>
      </w:r>
      <w:r w:rsidRPr="002811A9">
        <w:rPr>
          <w:kern w:val="0"/>
        </w:rPr>
        <w:t>3.4%</w:t>
      </w:r>
      <w:r w:rsidRPr="002811A9">
        <w:rPr>
          <w:rFonts w:hint="eastAsia"/>
          <w:kern w:val="0"/>
        </w:rPr>
        <w:t>。</w:t>
      </w:r>
    </w:p>
    <w:p w:rsidR="002811A9" w:rsidRPr="002811A9" w:rsidRDefault="002811A9" w:rsidP="002811A9">
      <w:pPr>
        <w:rPr>
          <w:kern w:val="0"/>
        </w:rPr>
      </w:pPr>
      <w:r w:rsidRPr="002811A9">
        <w:rPr>
          <w:rFonts w:hint="eastAsia"/>
          <w:kern w:val="0"/>
        </w:rPr>
        <w:t xml:space="preserve">　　分经济类型看，</w:t>
      </w:r>
      <w:r w:rsidRPr="002811A9">
        <w:rPr>
          <w:kern w:val="0"/>
        </w:rPr>
        <w:t>4</w:t>
      </w:r>
      <w:r w:rsidRPr="002811A9">
        <w:rPr>
          <w:rFonts w:hint="eastAsia"/>
          <w:kern w:val="0"/>
        </w:rPr>
        <w:t>月份，国有及国有控股企业增加值同比增长</w:t>
      </w:r>
      <w:r w:rsidRPr="002811A9">
        <w:rPr>
          <w:kern w:val="0"/>
        </w:rPr>
        <w:t>5.7%</w:t>
      </w:r>
      <w:r w:rsidRPr="002811A9">
        <w:rPr>
          <w:rFonts w:hint="eastAsia"/>
          <w:kern w:val="0"/>
        </w:rPr>
        <w:t>，集体企业增长</w:t>
      </w:r>
      <w:r w:rsidRPr="002811A9">
        <w:rPr>
          <w:kern w:val="0"/>
        </w:rPr>
        <w:t>1.7%</w:t>
      </w:r>
      <w:r w:rsidRPr="002811A9">
        <w:rPr>
          <w:rFonts w:hint="eastAsia"/>
          <w:kern w:val="0"/>
        </w:rPr>
        <w:t>，股份制企业增长</w:t>
      </w:r>
      <w:r w:rsidRPr="002811A9">
        <w:rPr>
          <w:kern w:val="0"/>
        </w:rPr>
        <w:t>10.3%</w:t>
      </w:r>
      <w:r w:rsidRPr="002811A9">
        <w:rPr>
          <w:rFonts w:hint="eastAsia"/>
          <w:kern w:val="0"/>
        </w:rPr>
        <w:t>，外商及港澳台商投资企业增长</w:t>
      </w:r>
      <w:r w:rsidRPr="002811A9">
        <w:rPr>
          <w:kern w:val="0"/>
        </w:rPr>
        <w:t>7.0%</w:t>
      </w:r>
      <w:r w:rsidRPr="002811A9">
        <w:rPr>
          <w:rFonts w:hint="eastAsia"/>
          <w:kern w:val="0"/>
        </w:rPr>
        <w:t>。</w:t>
      </w:r>
    </w:p>
    <w:p w:rsidR="002811A9" w:rsidRPr="002811A9" w:rsidRDefault="002811A9" w:rsidP="002811A9">
      <w:pPr>
        <w:rPr>
          <w:kern w:val="0"/>
        </w:rPr>
      </w:pPr>
      <w:r w:rsidRPr="002811A9">
        <w:rPr>
          <w:rFonts w:hint="eastAsia"/>
          <w:kern w:val="0"/>
        </w:rPr>
        <w:t xml:space="preserve">　　分行业看，</w:t>
      </w:r>
      <w:r w:rsidRPr="002811A9">
        <w:rPr>
          <w:kern w:val="0"/>
        </w:rPr>
        <w:t>4</w:t>
      </w:r>
      <w:r w:rsidRPr="002811A9">
        <w:rPr>
          <w:rFonts w:hint="eastAsia"/>
          <w:kern w:val="0"/>
        </w:rPr>
        <w:t>月份，</w:t>
      </w:r>
      <w:r w:rsidRPr="002811A9">
        <w:rPr>
          <w:kern w:val="0"/>
        </w:rPr>
        <w:t>41</w:t>
      </w:r>
      <w:r w:rsidRPr="002811A9">
        <w:rPr>
          <w:rFonts w:hint="eastAsia"/>
          <w:kern w:val="0"/>
        </w:rPr>
        <w:t>个大类行业中有</w:t>
      </w:r>
      <w:r w:rsidRPr="002811A9">
        <w:rPr>
          <w:kern w:val="0"/>
        </w:rPr>
        <w:t>40</w:t>
      </w:r>
      <w:r w:rsidRPr="002811A9">
        <w:rPr>
          <w:rFonts w:hint="eastAsia"/>
          <w:kern w:val="0"/>
        </w:rPr>
        <w:t>个行业增加值保持同比增长。其中，农副食品加工业增长</w:t>
      </w:r>
      <w:r w:rsidRPr="002811A9">
        <w:rPr>
          <w:kern w:val="0"/>
        </w:rPr>
        <w:t>8.6%</w:t>
      </w:r>
      <w:r w:rsidRPr="002811A9">
        <w:rPr>
          <w:rFonts w:hint="eastAsia"/>
          <w:kern w:val="0"/>
        </w:rPr>
        <w:t>，纺织业增长</w:t>
      </w:r>
      <w:r w:rsidRPr="002811A9">
        <w:rPr>
          <w:kern w:val="0"/>
        </w:rPr>
        <w:t>7.4%</w:t>
      </w:r>
      <w:r w:rsidRPr="002811A9">
        <w:rPr>
          <w:rFonts w:hint="eastAsia"/>
          <w:kern w:val="0"/>
        </w:rPr>
        <w:t>，化学原料和化学制品制造业增长</w:t>
      </w:r>
      <w:r w:rsidRPr="002811A9">
        <w:rPr>
          <w:kern w:val="0"/>
        </w:rPr>
        <w:t>9.1%</w:t>
      </w:r>
      <w:r w:rsidRPr="002811A9">
        <w:rPr>
          <w:rFonts w:hint="eastAsia"/>
          <w:kern w:val="0"/>
        </w:rPr>
        <w:t>，非金属矿物制品业增长</w:t>
      </w:r>
      <w:r w:rsidRPr="002811A9">
        <w:rPr>
          <w:kern w:val="0"/>
        </w:rPr>
        <w:t>10.0%</w:t>
      </w:r>
      <w:r w:rsidRPr="002811A9">
        <w:rPr>
          <w:rFonts w:hint="eastAsia"/>
          <w:kern w:val="0"/>
        </w:rPr>
        <w:t>，黑色金属冶炼和压延加工业增长</w:t>
      </w:r>
      <w:r w:rsidRPr="002811A9">
        <w:rPr>
          <w:kern w:val="0"/>
        </w:rPr>
        <w:t>7.2%</w:t>
      </w:r>
      <w:r w:rsidRPr="002811A9">
        <w:rPr>
          <w:rFonts w:hint="eastAsia"/>
          <w:kern w:val="0"/>
        </w:rPr>
        <w:t>，有色金属冶炼和压延加工业增长</w:t>
      </w:r>
      <w:r w:rsidRPr="002811A9">
        <w:rPr>
          <w:kern w:val="0"/>
        </w:rPr>
        <w:t>14.1%</w:t>
      </w:r>
      <w:r w:rsidRPr="002811A9">
        <w:rPr>
          <w:rFonts w:hint="eastAsia"/>
          <w:kern w:val="0"/>
        </w:rPr>
        <w:t>，通用设备制造业增长</w:t>
      </w:r>
      <w:r w:rsidRPr="002811A9">
        <w:rPr>
          <w:kern w:val="0"/>
        </w:rPr>
        <w:t>8.8%</w:t>
      </w:r>
      <w:r w:rsidRPr="002811A9">
        <w:rPr>
          <w:rFonts w:hint="eastAsia"/>
          <w:kern w:val="0"/>
        </w:rPr>
        <w:t>，专用设备制造业增长</w:t>
      </w:r>
      <w:r w:rsidRPr="002811A9">
        <w:rPr>
          <w:kern w:val="0"/>
        </w:rPr>
        <w:t>7.4%</w:t>
      </w:r>
      <w:r w:rsidRPr="002811A9">
        <w:rPr>
          <w:rFonts w:hint="eastAsia"/>
          <w:kern w:val="0"/>
        </w:rPr>
        <w:t>，汽车制造业增长</w:t>
      </w:r>
      <w:r w:rsidRPr="002811A9">
        <w:rPr>
          <w:kern w:val="0"/>
        </w:rPr>
        <w:t>11.5%</w:t>
      </w:r>
      <w:r w:rsidRPr="002811A9">
        <w:rPr>
          <w:rFonts w:hint="eastAsia"/>
          <w:kern w:val="0"/>
        </w:rPr>
        <w:t>，铁路、船舶、航空航天和其他运输设备制造业增长</w:t>
      </w:r>
      <w:r w:rsidRPr="002811A9">
        <w:rPr>
          <w:kern w:val="0"/>
        </w:rPr>
        <w:t>11.6%</w:t>
      </w:r>
      <w:r w:rsidRPr="002811A9">
        <w:rPr>
          <w:rFonts w:hint="eastAsia"/>
          <w:kern w:val="0"/>
        </w:rPr>
        <w:t>，电气机械和器材制造业增长</w:t>
      </w:r>
      <w:r w:rsidRPr="002811A9">
        <w:rPr>
          <w:kern w:val="0"/>
        </w:rPr>
        <w:t>11.2%</w:t>
      </w:r>
      <w:r w:rsidRPr="002811A9">
        <w:rPr>
          <w:rFonts w:hint="eastAsia"/>
          <w:kern w:val="0"/>
        </w:rPr>
        <w:t>，计算机、通信和其他电子设备制造业增长</w:t>
      </w:r>
      <w:r w:rsidRPr="002811A9">
        <w:rPr>
          <w:kern w:val="0"/>
        </w:rPr>
        <w:t>11.4%</w:t>
      </w:r>
      <w:r w:rsidRPr="002811A9">
        <w:rPr>
          <w:rFonts w:hint="eastAsia"/>
          <w:kern w:val="0"/>
        </w:rPr>
        <w:t>，电力、热力生产和供应业增长</w:t>
      </w:r>
      <w:r w:rsidRPr="002811A9">
        <w:rPr>
          <w:kern w:val="0"/>
        </w:rPr>
        <w:t>2.5%</w:t>
      </w:r>
      <w:r w:rsidRPr="002811A9">
        <w:rPr>
          <w:rFonts w:hint="eastAsia"/>
          <w:kern w:val="0"/>
        </w:rPr>
        <w:t>。</w:t>
      </w:r>
    </w:p>
    <w:p w:rsidR="002811A9" w:rsidRPr="002811A9" w:rsidRDefault="002811A9" w:rsidP="002811A9">
      <w:pPr>
        <w:rPr>
          <w:kern w:val="0"/>
        </w:rPr>
      </w:pPr>
      <w:r w:rsidRPr="002811A9">
        <w:rPr>
          <w:rFonts w:hint="eastAsia"/>
          <w:kern w:val="0"/>
        </w:rPr>
        <w:t xml:space="preserve">　　分地区看，</w:t>
      </w:r>
      <w:r w:rsidRPr="002811A9">
        <w:rPr>
          <w:kern w:val="0"/>
        </w:rPr>
        <w:t>4</w:t>
      </w:r>
      <w:r w:rsidRPr="002811A9">
        <w:rPr>
          <w:rFonts w:hint="eastAsia"/>
          <w:kern w:val="0"/>
        </w:rPr>
        <w:t>月份，东部地区增加值同比增长</w:t>
      </w:r>
      <w:r w:rsidRPr="002811A9">
        <w:rPr>
          <w:kern w:val="0"/>
        </w:rPr>
        <w:t>8.1%</w:t>
      </w:r>
      <w:r w:rsidRPr="002811A9">
        <w:rPr>
          <w:rFonts w:hint="eastAsia"/>
          <w:kern w:val="0"/>
        </w:rPr>
        <w:t>，中部地区增长</w:t>
      </w:r>
      <w:r w:rsidRPr="002811A9">
        <w:rPr>
          <w:kern w:val="0"/>
        </w:rPr>
        <w:t>8.8%</w:t>
      </w:r>
      <w:r w:rsidRPr="002811A9">
        <w:rPr>
          <w:rFonts w:hint="eastAsia"/>
          <w:kern w:val="0"/>
        </w:rPr>
        <w:t>，西部地区增长</w:t>
      </w:r>
      <w:r w:rsidRPr="002811A9">
        <w:rPr>
          <w:kern w:val="0"/>
        </w:rPr>
        <w:t>11.0%</w:t>
      </w:r>
      <w:r w:rsidRPr="002811A9">
        <w:rPr>
          <w:rFonts w:hint="eastAsia"/>
          <w:kern w:val="0"/>
        </w:rPr>
        <w:t>。</w:t>
      </w:r>
    </w:p>
    <w:p w:rsidR="002811A9" w:rsidRPr="002811A9" w:rsidRDefault="002811A9" w:rsidP="002811A9">
      <w:pPr>
        <w:rPr>
          <w:kern w:val="0"/>
        </w:rPr>
      </w:pPr>
      <w:r w:rsidRPr="002811A9">
        <w:rPr>
          <w:rFonts w:hint="eastAsia"/>
          <w:kern w:val="0"/>
        </w:rPr>
        <w:t xml:space="preserve">　　分产品看，</w:t>
      </w:r>
      <w:r w:rsidRPr="002811A9">
        <w:rPr>
          <w:kern w:val="0"/>
        </w:rPr>
        <w:t>4</w:t>
      </w:r>
      <w:r w:rsidRPr="002811A9">
        <w:rPr>
          <w:rFonts w:hint="eastAsia"/>
          <w:kern w:val="0"/>
        </w:rPr>
        <w:t>月份，多种产品同比增长。其中，钢材</w:t>
      </w:r>
      <w:r w:rsidRPr="002811A9">
        <w:rPr>
          <w:kern w:val="0"/>
        </w:rPr>
        <w:t>9250</w:t>
      </w:r>
      <w:r w:rsidRPr="002811A9">
        <w:rPr>
          <w:rFonts w:hint="eastAsia"/>
          <w:kern w:val="0"/>
        </w:rPr>
        <w:t>万吨，增长</w:t>
      </w:r>
      <w:r w:rsidRPr="002811A9">
        <w:rPr>
          <w:kern w:val="0"/>
        </w:rPr>
        <w:t>5.4%</w:t>
      </w:r>
      <w:r w:rsidRPr="002811A9">
        <w:rPr>
          <w:rFonts w:hint="eastAsia"/>
          <w:kern w:val="0"/>
        </w:rPr>
        <w:t>；水泥</w:t>
      </w:r>
      <w:r w:rsidRPr="002811A9">
        <w:rPr>
          <w:kern w:val="0"/>
        </w:rPr>
        <w:t>22589</w:t>
      </w:r>
      <w:r w:rsidRPr="002811A9">
        <w:rPr>
          <w:rFonts w:hint="eastAsia"/>
          <w:kern w:val="0"/>
        </w:rPr>
        <w:t>万吨，增长</w:t>
      </w:r>
      <w:r w:rsidRPr="002811A9">
        <w:rPr>
          <w:kern w:val="0"/>
        </w:rPr>
        <w:t>3.9%</w:t>
      </w:r>
      <w:r w:rsidRPr="002811A9">
        <w:rPr>
          <w:rFonts w:hint="eastAsia"/>
          <w:kern w:val="0"/>
        </w:rPr>
        <w:t>；十种有色金属</w:t>
      </w:r>
      <w:r w:rsidRPr="002811A9">
        <w:rPr>
          <w:kern w:val="0"/>
        </w:rPr>
        <w:t>340</w:t>
      </w:r>
      <w:r w:rsidRPr="002811A9">
        <w:rPr>
          <w:rFonts w:hint="eastAsia"/>
          <w:kern w:val="0"/>
        </w:rPr>
        <w:t>万吨，增长</w:t>
      </w:r>
      <w:r w:rsidRPr="002811A9">
        <w:rPr>
          <w:kern w:val="0"/>
        </w:rPr>
        <w:t>4.3%</w:t>
      </w:r>
      <w:r w:rsidRPr="002811A9">
        <w:rPr>
          <w:rFonts w:hint="eastAsia"/>
          <w:kern w:val="0"/>
        </w:rPr>
        <w:t>；乙烯</w:t>
      </w:r>
      <w:r w:rsidRPr="002811A9">
        <w:rPr>
          <w:kern w:val="0"/>
        </w:rPr>
        <w:t>134</w:t>
      </w:r>
      <w:r w:rsidRPr="002811A9">
        <w:rPr>
          <w:rFonts w:hint="eastAsia"/>
          <w:kern w:val="0"/>
        </w:rPr>
        <w:t>万吨，增长</w:t>
      </w:r>
      <w:r w:rsidRPr="002811A9">
        <w:rPr>
          <w:kern w:val="0"/>
        </w:rPr>
        <w:t>6.7%</w:t>
      </w:r>
      <w:r w:rsidRPr="002811A9">
        <w:rPr>
          <w:rFonts w:hint="eastAsia"/>
          <w:kern w:val="0"/>
        </w:rPr>
        <w:t>；汽车</w:t>
      </w:r>
      <w:r w:rsidRPr="002811A9">
        <w:rPr>
          <w:kern w:val="0"/>
        </w:rPr>
        <w:t>220.4</w:t>
      </w:r>
      <w:r w:rsidRPr="002811A9">
        <w:rPr>
          <w:rFonts w:hint="eastAsia"/>
          <w:kern w:val="0"/>
        </w:rPr>
        <w:t>万辆，增长</w:t>
      </w:r>
      <w:r w:rsidRPr="002811A9">
        <w:rPr>
          <w:kern w:val="0"/>
        </w:rPr>
        <w:t>7.9%</w:t>
      </w:r>
      <w:r w:rsidRPr="002811A9">
        <w:rPr>
          <w:rFonts w:hint="eastAsia"/>
          <w:kern w:val="0"/>
        </w:rPr>
        <w:t>；轿车</w:t>
      </w:r>
      <w:r w:rsidRPr="002811A9">
        <w:rPr>
          <w:kern w:val="0"/>
        </w:rPr>
        <w:t>114.7</w:t>
      </w:r>
      <w:r w:rsidRPr="002811A9">
        <w:rPr>
          <w:rFonts w:hint="eastAsia"/>
          <w:kern w:val="0"/>
        </w:rPr>
        <w:t>万辆，增长</w:t>
      </w:r>
      <w:r w:rsidRPr="002811A9">
        <w:rPr>
          <w:kern w:val="0"/>
        </w:rPr>
        <w:t>3.4%</w:t>
      </w:r>
      <w:r w:rsidRPr="002811A9">
        <w:rPr>
          <w:rFonts w:hint="eastAsia"/>
          <w:kern w:val="0"/>
        </w:rPr>
        <w:t>；发电量</w:t>
      </w:r>
      <w:r w:rsidRPr="002811A9">
        <w:rPr>
          <w:kern w:val="0"/>
        </w:rPr>
        <w:t>4250</w:t>
      </w:r>
      <w:r w:rsidRPr="002811A9">
        <w:rPr>
          <w:rFonts w:hint="eastAsia"/>
          <w:kern w:val="0"/>
        </w:rPr>
        <w:t>亿千瓦时，增长</w:t>
      </w:r>
      <w:r w:rsidRPr="002811A9">
        <w:rPr>
          <w:kern w:val="0"/>
        </w:rPr>
        <w:t>4.4%</w:t>
      </w:r>
      <w:r w:rsidRPr="002811A9">
        <w:rPr>
          <w:rFonts w:hint="eastAsia"/>
          <w:kern w:val="0"/>
        </w:rPr>
        <w:t>；原油加工量</w:t>
      </w:r>
      <w:r w:rsidRPr="002811A9">
        <w:rPr>
          <w:kern w:val="0"/>
        </w:rPr>
        <w:t>3958</w:t>
      </w:r>
      <w:r w:rsidRPr="002811A9">
        <w:rPr>
          <w:rFonts w:hint="eastAsia"/>
          <w:kern w:val="0"/>
        </w:rPr>
        <w:t>万吨，增长</w:t>
      </w:r>
      <w:r w:rsidRPr="002811A9">
        <w:rPr>
          <w:kern w:val="0"/>
        </w:rPr>
        <w:t>3.8%</w:t>
      </w:r>
      <w:r w:rsidRPr="002811A9">
        <w:rPr>
          <w:rFonts w:hint="eastAsia"/>
          <w:kern w:val="0"/>
        </w:rPr>
        <w:t>。</w:t>
      </w:r>
    </w:p>
    <w:p w:rsidR="002811A9" w:rsidRPr="002811A9" w:rsidRDefault="002811A9" w:rsidP="002811A9">
      <w:pPr>
        <w:rPr>
          <w:kern w:val="0"/>
        </w:rPr>
      </w:pPr>
      <w:r w:rsidRPr="002811A9">
        <w:rPr>
          <w:rFonts w:hint="eastAsia"/>
          <w:kern w:val="0"/>
        </w:rPr>
        <w:t xml:space="preserve">　　</w:t>
      </w:r>
      <w:r w:rsidRPr="002811A9">
        <w:rPr>
          <w:kern w:val="0"/>
        </w:rPr>
        <w:t>4</w:t>
      </w:r>
      <w:r w:rsidRPr="002811A9">
        <w:rPr>
          <w:rFonts w:hint="eastAsia"/>
          <w:kern w:val="0"/>
        </w:rPr>
        <w:t>月份，工业企业产品销售率为</w:t>
      </w:r>
      <w:r w:rsidRPr="002811A9">
        <w:rPr>
          <w:kern w:val="0"/>
        </w:rPr>
        <w:t>97.9 %</w:t>
      </w:r>
      <w:r w:rsidRPr="002811A9">
        <w:rPr>
          <w:rFonts w:hint="eastAsia"/>
          <w:kern w:val="0"/>
        </w:rPr>
        <w:t>，比上年同期下降</w:t>
      </w:r>
      <w:r w:rsidRPr="002811A9">
        <w:rPr>
          <w:kern w:val="0"/>
        </w:rPr>
        <w:t>0.1</w:t>
      </w:r>
      <w:r w:rsidRPr="002811A9">
        <w:rPr>
          <w:rFonts w:hint="eastAsia"/>
          <w:kern w:val="0"/>
        </w:rPr>
        <w:t>个百分点。工业企业实现出口交货值</w:t>
      </w:r>
      <w:r w:rsidRPr="002811A9">
        <w:rPr>
          <w:kern w:val="0"/>
        </w:rPr>
        <w:t>9614</w:t>
      </w:r>
      <w:r w:rsidRPr="002811A9">
        <w:rPr>
          <w:rFonts w:hint="eastAsia"/>
          <w:kern w:val="0"/>
        </w:rPr>
        <w:t>亿元，同比名义增长</w:t>
      </w:r>
      <w:r w:rsidRPr="002811A9">
        <w:rPr>
          <w:kern w:val="0"/>
        </w:rPr>
        <w:t>6.2%</w:t>
      </w:r>
      <w:r w:rsidRPr="002811A9">
        <w:rPr>
          <w:rFonts w:hint="eastAsia"/>
          <w:kern w:val="0"/>
        </w:rPr>
        <w:t>。</w:t>
      </w:r>
    </w:p>
    <w:tbl>
      <w:tblPr>
        <w:tblW w:w="0" w:type="auto"/>
        <w:jc w:val="center"/>
        <w:tblCellMar>
          <w:left w:w="0" w:type="dxa"/>
          <w:right w:w="0" w:type="dxa"/>
        </w:tblCellMar>
        <w:tblLook w:val="04A0"/>
      </w:tblPr>
      <w:tblGrid>
        <w:gridCol w:w="3284"/>
        <w:gridCol w:w="1056"/>
        <w:gridCol w:w="1547"/>
        <w:gridCol w:w="1072"/>
        <w:gridCol w:w="1347"/>
      </w:tblGrid>
      <w:tr w:rsidR="002811A9" w:rsidRPr="002811A9" w:rsidTr="002811A9">
        <w:trPr>
          <w:trHeight w:val="567"/>
          <w:jc w:val="center"/>
        </w:trPr>
        <w:tc>
          <w:tcPr>
            <w:tcW w:w="9638" w:type="dxa"/>
            <w:gridSpan w:val="5"/>
            <w:tcBorders>
              <w:top w:val="nil"/>
              <w:left w:val="nil"/>
              <w:bottom w:val="single" w:sz="12" w:space="0" w:color="000000"/>
              <w:right w:val="nil"/>
            </w:tcBorders>
            <w:shd w:val="clear" w:color="auto" w:fill="FFFFFF"/>
            <w:vAlign w:val="center"/>
            <w:hideMark/>
          </w:tcPr>
          <w:p w:rsidR="002811A9" w:rsidRPr="002811A9" w:rsidRDefault="002811A9" w:rsidP="002811A9">
            <w:pPr>
              <w:rPr>
                <w:kern w:val="0"/>
              </w:rPr>
            </w:pPr>
            <w:r w:rsidRPr="002811A9">
              <w:rPr>
                <w:b/>
                <w:bCs/>
                <w:kern w:val="0"/>
                <w:bdr w:val="none" w:sz="0" w:space="0" w:color="auto" w:frame="1"/>
              </w:rPr>
              <w:t>2014</w:t>
            </w:r>
            <w:r w:rsidRPr="002811A9">
              <w:rPr>
                <w:rFonts w:hint="eastAsia"/>
                <w:b/>
                <w:bCs/>
                <w:kern w:val="0"/>
                <w:bdr w:val="none" w:sz="0" w:space="0" w:color="auto" w:frame="1"/>
              </w:rPr>
              <w:t>年</w:t>
            </w:r>
            <w:r w:rsidRPr="002811A9">
              <w:rPr>
                <w:b/>
                <w:bCs/>
                <w:kern w:val="0"/>
                <w:bdr w:val="none" w:sz="0" w:space="0" w:color="auto" w:frame="1"/>
              </w:rPr>
              <w:t>4</w:t>
            </w:r>
            <w:r w:rsidRPr="002811A9">
              <w:rPr>
                <w:rFonts w:hint="eastAsia"/>
                <w:b/>
                <w:bCs/>
                <w:kern w:val="0"/>
                <w:bdr w:val="none" w:sz="0" w:space="0" w:color="auto" w:frame="1"/>
              </w:rPr>
              <w:t>月份规模以上工业生产主要数据</w:t>
            </w:r>
          </w:p>
        </w:tc>
      </w:tr>
      <w:tr w:rsidR="002811A9" w:rsidRPr="002811A9" w:rsidTr="002811A9">
        <w:trPr>
          <w:trHeight w:val="567"/>
          <w:jc w:val="center"/>
        </w:trPr>
        <w:tc>
          <w:tcPr>
            <w:tcW w:w="3931" w:type="dxa"/>
            <w:vMerge w:val="restart"/>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2968" w:type="dxa"/>
            <w:gridSpan w:val="2"/>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kern w:val="0"/>
              </w:rPr>
              <w:t>4</w:t>
            </w:r>
            <w:r w:rsidRPr="002811A9">
              <w:rPr>
                <w:rFonts w:hint="eastAsia"/>
                <w:kern w:val="0"/>
              </w:rPr>
              <w:t>月</w:t>
            </w:r>
          </w:p>
        </w:tc>
        <w:tc>
          <w:tcPr>
            <w:tcW w:w="2739" w:type="dxa"/>
            <w:gridSpan w:val="2"/>
            <w:tcBorders>
              <w:top w:val="nil"/>
              <w:left w:val="nil"/>
              <w:bottom w:val="single" w:sz="8" w:space="0" w:color="000000"/>
              <w:right w:val="nil"/>
            </w:tcBorders>
            <w:vAlign w:val="center"/>
            <w:hideMark/>
          </w:tcPr>
          <w:p w:rsidR="002811A9" w:rsidRPr="002811A9" w:rsidRDefault="002811A9" w:rsidP="002811A9">
            <w:pPr>
              <w:rPr>
                <w:kern w:val="0"/>
              </w:rPr>
            </w:pPr>
            <w:r w:rsidRPr="002811A9">
              <w:rPr>
                <w:kern w:val="0"/>
              </w:rPr>
              <w:t>1-4</w:t>
            </w:r>
            <w:r w:rsidRPr="002811A9">
              <w:rPr>
                <w:rFonts w:hint="eastAsia"/>
                <w:kern w:val="0"/>
              </w:rPr>
              <w:t>月</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185"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hint="eastAsia"/>
                <w:kern w:val="0"/>
              </w:rPr>
              <w:t>绝对量</w:t>
            </w:r>
          </w:p>
        </w:tc>
        <w:tc>
          <w:tcPr>
            <w:tcW w:w="1783"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hint="eastAsia"/>
                <w:kern w:val="0"/>
              </w:rPr>
              <w:t>同比增长</w:t>
            </w:r>
            <w:r w:rsidRPr="002811A9">
              <w:rPr>
                <w:kern w:val="0"/>
              </w:rPr>
              <w:br/>
            </w:r>
            <w:r w:rsidRPr="002811A9">
              <w:rPr>
                <w:rFonts w:hint="eastAsia"/>
                <w:kern w:val="0"/>
              </w:rPr>
              <w:t>（</w:t>
            </w:r>
            <w:r w:rsidRPr="002811A9">
              <w:rPr>
                <w:kern w:val="0"/>
              </w:rPr>
              <w:t>%</w:t>
            </w:r>
            <w:r w:rsidRPr="002811A9">
              <w:rPr>
                <w:rFonts w:hint="eastAsia"/>
                <w:kern w:val="0"/>
              </w:rPr>
              <w:t>）</w:t>
            </w:r>
          </w:p>
        </w:tc>
        <w:tc>
          <w:tcPr>
            <w:tcW w:w="1205"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hint="eastAsia"/>
                <w:kern w:val="0"/>
              </w:rPr>
              <w:t>绝对量</w:t>
            </w:r>
          </w:p>
        </w:tc>
        <w:tc>
          <w:tcPr>
            <w:tcW w:w="1534"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hint="eastAsia"/>
                <w:kern w:val="0"/>
              </w:rPr>
              <w:t>同比增长</w:t>
            </w:r>
            <w:r w:rsidRPr="002811A9">
              <w:rPr>
                <w:kern w:val="0"/>
              </w:rPr>
              <w:br/>
            </w:r>
            <w:r w:rsidRPr="002811A9">
              <w:rPr>
                <w:rFonts w:hint="eastAsia"/>
                <w:kern w:val="0"/>
              </w:rPr>
              <w:t>（</w:t>
            </w:r>
            <w:r w:rsidRPr="002811A9">
              <w:rPr>
                <w:kern w:val="0"/>
              </w:rPr>
              <w:t>%</w:t>
            </w:r>
            <w:r w:rsidRPr="002811A9">
              <w:rPr>
                <w:rFonts w:hint="eastAsia"/>
                <w:kern w:val="0"/>
              </w:rPr>
              <w:t>）</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规模以上工业增加值</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8.7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8.7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分三大门类</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采矿业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4.5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3.6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9.8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9.9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电力、热力、燃气及水生产和供应业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3.4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4.2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分经济类型</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rFonts w:hint="eastAsia"/>
                <w:kern w:val="0"/>
              </w:rPr>
              <w:t xml:space="preserve">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国有及国有控股企业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5.7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4.8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集体企业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1.7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2.7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股份制企业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10.3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10.1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外商及港澳台商投资企业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7.0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7.6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主要行业增加值</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r w:rsidRPr="002811A9">
              <w:rPr>
                <w:rFonts w:hint="eastAsia"/>
                <w:color w:val="000000"/>
                <w:kern w:val="0"/>
              </w:rPr>
              <w:t>农副食品加工业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8.6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8.8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r w:rsidRPr="002811A9">
              <w:rPr>
                <w:rFonts w:hint="eastAsia"/>
                <w:color w:val="000000"/>
                <w:kern w:val="0"/>
              </w:rPr>
              <w:t>食品制造业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7.9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9.0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纺织业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7.4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6.8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化学原料和化学制品制造业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9.1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11.1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医药制造业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12.0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12.7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橡胶和塑料制品业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9.1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10.2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非金属矿物制品业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10.0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10.2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黑色金属冶炼和压延加工业</w:t>
            </w:r>
            <w:r w:rsidRPr="002811A9">
              <w:rPr>
                <w:color w:val="000000"/>
                <w:kern w:val="0"/>
              </w:rPr>
              <w:t xml:space="preserve"> </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7.2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7.2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有色金属冶炼和压延加工业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14.1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13.7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金属制品业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11.9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12.0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通用设备制造业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8.8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10.3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专用设备制造业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7.4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10.4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汽车制造业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11.5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13.3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铁路、船舶、航空航天和其他运输设备制造业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11.6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8.6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电气机械和器材制造业</w:t>
            </w:r>
            <w:r w:rsidRPr="002811A9">
              <w:rPr>
                <w:color w:val="000000"/>
                <w:kern w:val="0"/>
              </w:rPr>
              <w:t xml:space="preserve"> </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11.2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11.3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计算机、通信和其他电子设备制造业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11.4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11.3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w:t>
            </w:r>
            <w:r w:rsidRPr="002811A9">
              <w:rPr>
                <w:rFonts w:hint="eastAsia"/>
                <w:kern w:val="0"/>
              </w:rPr>
              <w:t>电力、热力生产和供应业</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2.5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xml:space="preserve">3.3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主要产品产量</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color w:val="000000"/>
                <w:kern w:val="0"/>
              </w:rPr>
              <w:t>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布</w:t>
            </w:r>
            <w:r w:rsidRPr="002811A9">
              <w:rPr>
                <w:kern w:val="0"/>
              </w:rPr>
              <w:t xml:space="preserve"> (</w:t>
            </w:r>
            <w:r w:rsidRPr="002811A9">
              <w:rPr>
                <w:rFonts w:hint="eastAsia"/>
                <w:kern w:val="0"/>
              </w:rPr>
              <w:t>亿米</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57</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3.1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203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3.1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硫酸（折</w:t>
            </w:r>
            <w:r w:rsidRPr="002811A9">
              <w:rPr>
                <w:kern w:val="0"/>
              </w:rPr>
              <w:t>100</w:t>
            </w:r>
            <w:r w:rsidRPr="002811A9">
              <w:rPr>
                <w:rFonts w:hint="eastAsia"/>
                <w:kern w:val="0"/>
              </w:rPr>
              <w:t>％）</w:t>
            </w:r>
            <w:r w:rsidRPr="002811A9">
              <w:rPr>
                <w:kern w:val="0"/>
              </w:rPr>
              <w:t xml:space="preserve"> (</w:t>
            </w:r>
            <w:r w:rsidRPr="002811A9">
              <w:rPr>
                <w:rFonts w:hint="eastAsia"/>
                <w:kern w:val="0"/>
              </w:rPr>
              <w:t>万吨</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706</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0.3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2772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2.5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烧碱（折</w:t>
            </w:r>
            <w:r w:rsidRPr="002811A9">
              <w:rPr>
                <w:kern w:val="0"/>
              </w:rPr>
              <w:t>100</w:t>
            </w:r>
            <w:r w:rsidRPr="002811A9">
              <w:rPr>
                <w:rFonts w:hint="eastAsia"/>
                <w:kern w:val="0"/>
              </w:rPr>
              <w:t>％）</w:t>
            </w:r>
            <w:r w:rsidRPr="002811A9">
              <w:rPr>
                <w:kern w:val="0"/>
              </w:rPr>
              <w:t xml:space="preserve"> (</w:t>
            </w:r>
            <w:r w:rsidRPr="002811A9">
              <w:rPr>
                <w:rFonts w:hint="eastAsia"/>
                <w:kern w:val="0"/>
              </w:rPr>
              <w:t>万吨</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256</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5.0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1032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10.2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乙烯</w:t>
            </w:r>
            <w:r w:rsidRPr="002811A9">
              <w:rPr>
                <w:color w:val="000000"/>
                <w:kern w:val="0"/>
              </w:rPr>
              <w:t xml:space="preserve"> (</w:t>
            </w:r>
            <w:r w:rsidRPr="002811A9">
              <w:rPr>
                <w:rFonts w:hint="eastAsia"/>
                <w:color w:val="000000"/>
                <w:kern w:val="0"/>
              </w:rPr>
              <w:t>万吨</w:t>
            </w:r>
            <w:r w:rsidRPr="002811A9">
              <w:rPr>
                <w:color w:val="000000"/>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134</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6.7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563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5.6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化学纤维</w:t>
            </w:r>
            <w:r w:rsidRPr="002811A9">
              <w:rPr>
                <w:kern w:val="0"/>
              </w:rPr>
              <w:t xml:space="preserve"> (</w:t>
            </w:r>
            <w:r w:rsidRPr="002811A9">
              <w:rPr>
                <w:rFonts w:hint="eastAsia"/>
                <w:kern w:val="0"/>
              </w:rPr>
              <w:t>万吨</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370</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8.6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1343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6.0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水泥</w:t>
            </w:r>
            <w:r w:rsidRPr="002811A9">
              <w:rPr>
                <w:kern w:val="0"/>
              </w:rPr>
              <w:t xml:space="preserve"> (</w:t>
            </w:r>
            <w:r w:rsidRPr="002811A9">
              <w:rPr>
                <w:rFonts w:hint="eastAsia"/>
                <w:kern w:val="0"/>
              </w:rPr>
              <w:t>万吨</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22589</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3.9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67207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4.3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平板玻璃</w:t>
            </w:r>
            <w:r w:rsidRPr="002811A9">
              <w:rPr>
                <w:kern w:val="0"/>
              </w:rPr>
              <w:t xml:space="preserve"> (</w:t>
            </w:r>
            <w:r w:rsidRPr="002811A9">
              <w:rPr>
                <w:rFonts w:hint="eastAsia"/>
                <w:kern w:val="0"/>
              </w:rPr>
              <w:t>万重量箱</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6800</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6.8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26774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4.3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生铁</w:t>
            </w:r>
            <w:r w:rsidRPr="002811A9">
              <w:rPr>
                <w:kern w:val="0"/>
              </w:rPr>
              <w:t xml:space="preserve"> (</w:t>
            </w:r>
            <w:r w:rsidRPr="002811A9">
              <w:rPr>
                <w:rFonts w:hint="eastAsia"/>
                <w:kern w:val="0"/>
              </w:rPr>
              <w:t>万吨</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6018</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-0.8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23944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0.2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粗钢</w:t>
            </w:r>
            <w:r w:rsidRPr="002811A9">
              <w:rPr>
                <w:kern w:val="0"/>
              </w:rPr>
              <w:t xml:space="preserve"> (</w:t>
            </w:r>
            <w:r w:rsidRPr="002811A9">
              <w:rPr>
                <w:rFonts w:hint="eastAsia"/>
                <w:kern w:val="0"/>
              </w:rPr>
              <w:t>万吨</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6884</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2.1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27186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2.7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钢材</w:t>
            </w:r>
            <w:r w:rsidRPr="002811A9">
              <w:rPr>
                <w:kern w:val="0"/>
              </w:rPr>
              <w:t xml:space="preserve"> (</w:t>
            </w:r>
            <w:r w:rsidRPr="002811A9">
              <w:rPr>
                <w:rFonts w:hint="eastAsia"/>
                <w:kern w:val="0"/>
              </w:rPr>
              <w:t>万吨</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9250</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5.4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35359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5.9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lastRenderedPageBreak/>
              <w:t xml:space="preserve">　十种有色金属</w:t>
            </w:r>
            <w:r w:rsidRPr="002811A9">
              <w:rPr>
                <w:kern w:val="0"/>
              </w:rPr>
              <w:t xml:space="preserve"> (</w:t>
            </w:r>
            <w:r w:rsidRPr="002811A9">
              <w:rPr>
                <w:rFonts w:hint="eastAsia"/>
                <w:kern w:val="0"/>
              </w:rPr>
              <w:t>万吨</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340</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4.3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1355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5.4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氧化铝</w:t>
            </w:r>
            <w:r w:rsidRPr="002811A9">
              <w:rPr>
                <w:color w:val="000000"/>
                <w:kern w:val="0"/>
              </w:rPr>
              <w:t xml:space="preserve"> (</w:t>
            </w:r>
            <w:r w:rsidRPr="002811A9">
              <w:rPr>
                <w:rFonts w:hint="eastAsia"/>
                <w:color w:val="000000"/>
                <w:kern w:val="0"/>
              </w:rPr>
              <w:t>万吨</w:t>
            </w:r>
            <w:r w:rsidRPr="002811A9">
              <w:rPr>
                <w:color w:val="000000"/>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370</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6.0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1493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7.9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金属切削机床</w:t>
            </w:r>
            <w:r w:rsidRPr="002811A9">
              <w:rPr>
                <w:color w:val="000000"/>
                <w:kern w:val="0"/>
              </w:rPr>
              <w:t xml:space="preserve"> (</w:t>
            </w:r>
            <w:r w:rsidRPr="002811A9">
              <w:rPr>
                <w:rFonts w:hint="eastAsia"/>
                <w:color w:val="000000"/>
                <w:kern w:val="0"/>
              </w:rPr>
              <w:t>万台</w:t>
            </w:r>
            <w:r w:rsidRPr="002811A9">
              <w:rPr>
                <w:color w:val="000000"/>
                <w:kern w:val="0"/>
              </w:rPr>
              <w:t xml:space="preserve">) </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7</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4.7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25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4.7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汽车</w:t>
            </w:r>
            <w:r w:rsidRPr="002811A9">
              <w:rPr>
                <w:color w:val="000000"/>
                <w:kern w:val="0"/>
              </w:rPr>
              <w:t xml:space="preserve"> (</w:t>
            </w:r>
            <w:r w:rsidRPr="002811A9">
              <w:rPr>
                <w:rFonts w:hint="eastAsia"/>
                <w:color w:val="000000"/>
                <w:kern w:val="0"/>
              </w:rPr>
              <w:t>万辆</w:t>
            </w:r>
            <w:r w:rsidRPr="002811A9">
              <w:rPr>
                <w:color w:val="000000"/>
                <w:kern w:val="0"/>
              </w:rPr>
              <w:t xml:space="preserve">) </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220.4</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7.9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848.4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8.3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轿车</w:t>
            </w:r>
            <w:r w:rsidRPr="002811A9">
              <w:rPr>
                <w:kern w:val="0"/>
              </w:rPr>
              <w:t xml:space="preserve"> (</w:t>
            </w:r>
            <w:r w:rsidRPr="002811A9">
              <w:rPr>
                <w:rFonts w:hint="eastAsia"/>
                <w:kern w:val="0"/>
              </w:rPr>
              <w:t>万辆</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114.7</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3.4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444.0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3.1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发电机组（发电设备）</w:t>
            </w:r>
            <w:r w:rsidRPr="002811A9">
              <w:rPr>
                <w:kern w:val="0"/>
              </w:rPr>
              <w:t>(</w:t>
            </w:r>
            <w:r w:rsidRPr="002811A9">
              <w:rPr>
                <w:rFonts w:hint="eastAsia"/>
                <w:kern w:val="0"/>
              </w:rPr>
              <w:t>万千瓦</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1080</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9.6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4047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23.1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微型计算机设备</w:t>
            </w:r>
            <w:r w:rsidRPr="002811A9">
              <w:rPr>
                <w:kern w:val="0"/>
              </w:rPr>
              <w:t xml:space="preserve"> (</w:t>
            </w:r>
            <w:r w:rsidRPr="002811A9">
              <w:rPr>
                <w:rFonts w:hint="eastAsia"/>
                <w:kern w:val="0"/>
              </w:rPr>
              <w:t>万台</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2581</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5.9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10191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2.6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移动通信手持机</w:t>
            </w:r>
            <w:r w:rsidRPr="002811A9">
              <w:rPr>
                <w:kern w:val="0"/>
              </w:rPr>
              <w:t xml:space="preserve"> (</w:t>
            </w:r>
            <w:r w:rsidRPr="002811A9">
              <w:rPr>
                <w:rFonts w:hint="eastAsia"/>
                <w:kern w:val="0"/>
              </w:rPr>
              <w:t>万台</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14160</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14.5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53592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14.9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 xml:space="preserve">　集成电路</w:t>
            </w:r>
            <w:r w:rsidRPr="002811A9">
              <w:rPr>
                <w:kern w:val="0"/>
              </w:rPr>
              <w:t xml:space="preserve"> (</w:t>
            </w:r>
            <w:r w:rsidRPr="002811A9">
              <w:rPr>
                <w:rFonts w:hint="eastAsia"/>
                <w:kern w:val="0"/>
              </w:rPr>
              <w:t>亿块</w:t>
            </w:r>
            <w:r w:rsidRPr="002811A9">
              <w:rPr>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80</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15.0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color w:val="000000"/>
                <w:kern w:val="0"/>
              </w:rPr>
              <w:t xml:space="preserve">282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10.0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焦炭（万吨）</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3846</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-3.2</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15255</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-1.1</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发电量（亿千瓦时）</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4250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4.4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17027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5.6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火力发电量（亿千瓦时）</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3412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2.0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14079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4.3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 xml:space="preserve">　　水力发电量（亿千瓦时）</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620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21.0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2067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12.2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原油加工量（万吨）</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3958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3.8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16087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1.8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天然原油（万吨）</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1698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-0.4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6831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0.1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color w:val="000000"/>
                <w:kern w:val="0"/>
              </w:rPr>
              <w:t>天然气（亿立方米）</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98 </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3.3 </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 xml:space="preserve">421 </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 xml:space="preserve">6.2 </w:t>
            </w:r>
          </w:p>
        </w:tc>
      </w:tr>
      <w:tr w:rsidR="002811A9" w:rsidRPr="002811A9" w:rsidTr="002811A9">
        <w:trPr>
          <w:trHeight w:val="283"/>
          <w:jc w:val="center"/>
        </w:trPr>
        <w:tc>
          <w:tcPr>
            <w:tcW w:w="3931"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rFonts w:hint="eastAsia"/>
                <w:kern w:val="0"/>
              </w:rPr>
              <w:t>产品销售率（</w:t>
            </w:r>
            <w:r w:rsidRPr="002811A9">
              <w:rPr>
                <w:kern w:val="0"/>
              </w:rPr>
              <w:t>%</w:t>
            </w:r>
            <w:r w:rsidRPr="002811A9">
              <w:rPr>
                <w:rFonts w:hint="eastAsia"/>
                <w:kern w:val="0"/>
              </w:rPr>
              <w:t>）</w:t>
            </w:r>
          </w:p>
        </w:tc>
        <w:tc>
          <w:tcPr>
            <w:tcW w:w="118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97.9</w:t>
            </w:r>
          </w:p>
        </w:tc>
        <w:tc>
          <w:tcPr>
            <w:tcW w:w="1783"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-0.1(</w:t>
            </w:r>
            <w:r w:rsidRPr="002811A9">
              <w:rPr>
                <w:rFonts w:hint="eastAsia"/>
                <w:kern w:val="0"/>
              </w:rPr>
              <w:t>百分点</w:t>
            </w:r>
            <w:r w:rsidRPr="002811A9">
              <w:rPr>
                <w:kern w:val="0"/>
              </w:rPr>
              <w:t>)</w:t>
            </w:r>
          </w:p>
        </w:tc>
        <w:tc>
          <w:tcPr>
            <w:tcW w:w="1205" w:type="dxa"/>
            <w:tcBorders>
              <w:top w:val="nil"/>
              <w:left w:val="nil"/>
              <w:bottom w:val="nil"/>
              <w:right w:val="single" w:sz="8" w:space="0" w:color="000000"/>
            </w:tcBorders>
            <w:vAlign w:val="center"/>
            <w:hideMark/>
          </w:tcPr>
          <w:p w:rsidR="002811A9" w:rsidRPr="002811A9" w:rsidRDefault="002811A9" w:rsidP="002811A9">
            <w:pPr>
              <w:rPr>
                <w:kern w:val="0"/>
              </w:rPr>
            </w:pPr>
            <w:r w:rsidRPr="002811A9">
              <w:rPr>
                <w:kern w:val="0"/>
              </w:rPr>
              <w:t>97.3</w:t>
            </w:r>
          </w:p>
        </w:tc>
        <w:tc>
          <w:tcPr>
            <w:tcW w:w="1534" w:type="dxa"/>
            <w:tcBorders>
              <w:top w:val="nil"/>
              <w:left w:val="nil"/>
              <w:bottom w:val="nil"/>
              <w:right w:val="nil"/>
            </w:tcBorders>
            <w:vAlign w:val="center"/>
            <w:hideMark/>
          </w:tcPr>
          <w:p w:rsidR="002811A9" w:rsidRPr="002811A9" w:rsidRDefault="002811A9" w:rsidP="002811A9">
            <w:pPr>
              <w:rPr>
                <w:kern w:val="0"/>
              </w:rPr>
            </w:pPr>
            <w:r w:rsidRPr="002811A9">
              <w:rPr>
                <w:kern w:val="0"/>
              </w:rPr>
              <w:t>-0.1(</w:t>
            </w:r>
            <w:r w:rsidRPr="002811A9">
              <w:rPr>
                <w:rFonts w:hint="eastAsia"/>
                <w:kern w:val="0"/>
              </w:rPr>
              <w:t>百分点</w:t>
            </w:r>
            <w:r w:rsidRPr="002811A9">
              <w:rPr>
                <w:kern w:val="0"/>
              </w:rPr>
              <w:t>)</w:t>
            </w:r>
          </w:p>
        </w:tc>
      </w:tr>
      <w:tr w:rsidR="002811A9" w:rsidRPr="002811A9" w:rsidTr="002811A9">
        <w:trPr>
          <w:trHeight w:val="283"/>
          <w:jc w:val="center"/>
        </w:trPr>
        <w:tc>
          <w:tcPr>
            <w:tcW w:w="3931" w:type="dxa"/>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r w:rsidRPr="002811A9">
              <w:rPr>
                <w:rFonts w:hint="eastAsia"/>
                <w:kern w:val="0"/>
              </w:rPr>
              <w:t>出口交货值（亿元）</w:t>
            </w:r>
          </w:p>
        </w:tc>
        <w:tc>
          <w:tcPr>
            <w:tcW w:w="1185" w:type="dxa"/>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r w:rsidRPr="002811A9">
              <w:rPr>
                <w:kern w:val="0"/>
              </w:rPr>
              <w:t>9614</w:t>
            </w:r>
          </w:p>
        </w:tc>
        <w:tc>
          <w:tcPr>
            <w:tcW w:w="1783" w:type="dxa"/>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r w:rsidRPr="002811A9">
              <w:rPr>
                <w:color w:val="000000"/>
                <w:kern w:val="0"/>
              </w:rPr>
              <w:t xml:space="preserve">6.2 </w:t>
            </w:r>
          </w:p>
        </w:tc>
        <w:tc>
          <w:tcPr>
            <w:tcW w:w="1205" w:type="dxa"/>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r w:rsidRPr="002811A9">
              <w:rPr>
                <w:kern w:val="0"/>
              </w:rPr>
              <w:t>35538</w:t>
            </w:r>
          </w:p>
        </w:tc>
        <w:tc>
          <w:tcPr>
            <w:tcW w:w="1534" w:type="dxa"/>
            <w:tcBorders>
              <w:top w:val="nil"/>
              <w:left w:val="nil"/>
              <w:bottom w:val="single" w:sz="12" w:space="0" w:color="000000"/>
              <w:right w:val="nil"/>
            </w:tcBorders>
            <w:vAlign w:val="center"/>
            <w:hideMark/>
          </w:tcPr>
          <w:p w:rsidR="002811A9" w:rsidRPr="002811A9" w:rsidRDefault="002811A9" w:rsidP="002811A9">
            <w:pPr>
              <w:rPr>
                <w:kern w:val="0"/>
              </w:rPr>
            </w:pPr>
            <w:r w:rsidRPr="002811A9">
              <w:rPr>
                <w:kern w:val="0"/>
              </w:rPr>
              <w:t xml:space="preserve">5.0 </w:t>
            </w:r>
          </w:p>
        </w:tc>
      </w:tr>
    </w:tbl>
    <w:p w:rsidR="002811A9" w:rsidRPr="002811A9" w:rsidRDefault="002811A9" w:rsidP="002811A9">
      <w:pPr>
        <w:rPr>
          <w:kern w:val="0"/>
        </w:rPr>
      </w:pPr>
      <w:r w:rsidRPr="002811A9">
        <w:rPr>
          <w:kern w:val="0"/>
        </w:rPr>
        <w:t> </w:t>
      </w:r>
    </w:p>
    <w:p w:rsidR="002811A9" w:rsidRPr="002811A9" w:rsidRDefault="002811A9" w:rsidP="002811A9">
      <w:pPr>
        <w:rPr>
          <w:kern w:val="0"/>
        </w:rPr>
      </w:pPr>
      <w:r>
        <w:rPr>
          <w:noProof/>
          <w:kern w:val="0"/>
        </w:rPr>
        <w:drawing>
          <wp:inline distT="0" distB="0" distL="0" distR="0">
            <wp:extent cx="5324475" cy="4152900"/>
            <wp:effectExtent l="19050" t="0" r="9525" b="0"/>
            <wp:docPr id="2" name="图片 2" descr="http://www.stats.gov.cn/tjsj/zxfb/201405/W020140513406655778208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ats.gov.cn/tjsj/zxfb/201405/W020140513406655778208_r75.gif"/>
                    <pic:cNvPicPr>
                      <a:picLocks noChangeAspect="1" noChangeArrowheads="1"/>
                    </pic:cNvPicPr>
                  </pic:nvPicPr>
                  <pic:blipFill>
                    <a:blip r:embed="rId7"/>
                    <a:srcRect/>
                    <a:stretch>
                      <a:fillRect/>
                    </a:stretch>
                  </pic:blipFill>
                  <pic:spPr bwMode="auto">
                    <a:xfrm>
                      <a:off x="0" y="0"/>
                      <a:ext cx="5324475" cy="4152900"/>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kern w:val="0"/>
        </w:rPr>
        <w:t> </w:t>
      </w:r>
    </w:p>
    <w:p w:rsidR="002811A9" w:rsidRPr="002811A9" w:rsidRDefault="002811A9" w:rsidP="002811A9">
      <w:pPr>
        <w:rPr>
          <w:kern w:val="0"/>
        </w:rPr>
      </w:pPr>
      <w:r>
        <w:rPr>
          <w:noProof/>
          <w:kern w:val="0"/>
        </w:rPr>
        <w:lastRenderedPageBreak/>
        <w:drawing>
          <wp:inline distT="0" distB="0" distL="0" distR="0">
            <wp:extent cx="5648325" cy="3343275"/>
            <wp:effectExtent l="19050" t="0" r="9525" b="0"/>
            <wp:docPr id="3" name="图片 3" descr="http://www.stats.gov.cn/tjsj/zxfb/201405/W020140513406655773262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ats.gov.cn/tjsj/zxfb/201405/W020140513406655773262_r75.gif"/>
                    <pic:cNvPicPr>
                      <a:picLocks noChangeAspect="1" noChangeArrowheads="1"/>
                    </pic:cNvPicPr>
                  </pic:nvPicPr>
                  <pic:blipFill>
                    <a:blip r:embed="rId8"/>
                    <a:srcRect/>
                    <a:stretch>
                      <a:fillRect/>
                    </a:stretch>
                  </pic:blipFill>
                  <pic:spPr bwMode="auto">
                    <a:xfrm>
                      <a:off x="0" y="0"/>
                      <a:ext cx="5648325" cy="3343275"/>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kern w:val="0"/>
        </w:rPr>
        <w:t> </w:t>
      </w:r>
    </w:p>
    <w:p w:rsidR="002811A9" w:rsidRPr="002811A9" w:rsidRDefault="002811A9" w:rsidP="002811A9">
      <w:pPr>
        <w:rPr>
          <w:kern w:val="0"/>
        </w:rPr>
      </w:pPr>
      <w:r>
        <w:rPr>
          <w:noProof/>
          <w:kern w:val="0"/>
        </w:rPr>
        <w:drawing>
          <wp:inline distT="0" distB="0" distL="0" distR="0">
            <wp:extent cx="5353050" cy="3600450"/>
            <wp:effectExtent l="19050" t="0" r="0" b="0"/>
            <wp:docPr id="4" name="图片 4" descr="http://www.stats.gov.cn/tjsj/zxfb/201405/W020140513406655770479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ats.gov.cn/tjsj/zxfb/201405/W020140513406655770479_r75.gif"/>
                    <pic:cNvPicPr>
                      <a:picLocks noChangeAspect="1" noChangeArrowheads="1"/>
                    </pic:cNvPicPr>
                  </pic:nvPicPr>
                  <pic:blipFill>
                    <a:blip r:embed="rId9"/>
                    <a:srcRect/>
                    <a:stretch>
                      <a:fillRect/>
                    </a:stretch>
                  </pic:blipFill>
                  <pic:spPr bwMode="auto">
                    <a:xfrm>
                      <a:off x="0" y="0"/>
                      <a:ext cx="5353050" cy="3600450"/>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kern w:val="0"/>
        </w:rPr>
        <w:t> </w:t>
      </w:r>
    </w:p>
    <w:p w:rsidR="002811A9" w:rsidRPr="002811A9" w:rsidRDefault="002811A9" w:rsidP="002811A9">
      <w:pPr>
        <w:rPr>
          <w:kern w:val="0"/>
        </w:rPr>
      </w:pPr>
      <w:r>
        <w:rPr>
          <w:noProof/>
          <w:kern w:val="0"/>
        </w:rPr>
        <w:lastRenderedPageBreak/>
        <w:drawing>
          <wp:inline distT="0" distB="0" distL="0" distR="0">
            <wp:extent cx="5362575" cy="3105150"/>
            <wp:effectExtent l="19050" t="0" r="9525" b="0"/>
            <wp:docPr id="5" name="图片 5" descr="http://www.stats.gov.cn/tjsj/zxfb/201405/W020140513406655776076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ats.gov.cn/tjsj/zxfb/201405/W020140513406655776076_r75.gif"/>
                    <pic:cNvPicPr>
                      <a:picLocks noChangeAspect="1" noChangeArrowheads="1"/>
                    </pic:cNvPicPr>
                  </pic:nvPicPr>
                  <pic:blipFill>
                    <a:blip r:embed="rId10"/>
                    <a:srcRect/>
                    <a:stretch>
                      <a:fillRect/>
                    </a:stretch>
                  </pic:blipFill>
                  <pic:spPr bwMode="auto">
                    <a:xfrm>
                      <a:off x="0" y="0"/>
                      <a:ext cx="5362575" cy="3105150"/>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kern w:val="0"/>
        </w:rPr>
        <w:t> </w:t>
      </w:r>
    </w:p>
    <w:p w:rsidR="002811A9" w:rsidRPr="002811A9" w:rsidRDefault="002811A9" w:rsidP="002811A9">
      <w:pPr>
        <w:rPr>
          <w:kern w:val="0"/>
        </w:rPr>
      </w:pPr>
      <w:r>
        <w:rPr>
          <w:noProof/>
          <w:kern w:val="0"/>
        </w:rPr>
        <w:drawing>
          <wp:inline distT="0" distB="0" distL="0" distR="0">
            <wp:extent cx="5372100" cy="3343275"/>
            <wp:effectExtent l="19050" t="0" r="0" b="0"/>
            <wp:docPr id="6" name="图片 6" descr="http://www.stats.gov.cn/tjsj/zxfb/201405/W020140513406655770567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ats.gov.cn/tjsj/zxfb/201405/W020140513406655770567_r75.gif"/>
                    <pic:cNvPicPr>
                      <a:picLocks noChangeAspect="1" noChangeArrowheads="1"/>
                    </pic:cNvPicPr>
                  </pic:nvPicPr>
                  <pic:blipFill>
                    <a:blip r:embed="rId11"/>
                    <a:srcRect/>
                    <a:stretch>
                      <a:fillRect/>
                    </a:stretch>
                  </pic:blipFill>
                  <pic:spPr bwMode="auto">
                    <a:xfrm>
                      <a:off x="0" y="0"/>
                      <a:ext cx="5372100" cy="3343275"/>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kern w:val="0"/>
        </w:rPr>
        <w:t> </w:t>
      </w:r>
    </w:p>
    <w:p w:rsidR="002811A9" w:rsidRPr="002811A9" w:rsidRDefault="002811A9" w:rsidP="002811A9">
      <w:pPr>
        <w:rPr>
          <w:kern w:val="0"/>
        </w:rPr>
      </w:pPr>
      <w:r>
        <w:rPr>
          <w:noProof/>
          <w:kern w:val="0"/>
        </w:rPr>
        <w:lastRenderedPageBreak/>
        <w:drawing>
          <wp:inline distT="0" distB="0" distL="0" distR="0">
            <wp:extent cx="5381625" cy="3333750"/>
            <wp:effectExtent l="19050" t="0" r="9525" b="0"/>
            <wp:docPr id="7" name="图片 7" descr="http://www.stats.gov.cn/tjsj/zxfb/201405/W020140513406655772788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ats.gov.cn/tjsj/zxfb/201405/W020140513406655772788_r75.gif"/>
                    <pic:cNvPicPr>
                      <a:picLocks noChangeAspect="1" noChangeArrowheads="1"/>
                    </pic:cNvPicPr>
                  </pic:nvPicPr>
                  <pic:blipFill>
                    <a:blip r:embed="rId12"/>
                    <a:srcRect/>
                    <a:stretch>
                      <a:fillRect/>
                    </a:stretch>
                  </pic:blipFill>
                  <pic:spPr bwMode="auto">
                    <a:xfrm>
                      <a:off x="0" y="0"/>
                      <a:ext cx="5381625" cy="3333750"/>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kern w:val="0"/>
        </w:rPr>
        <w:t> </w:t>
      </w:r>
    </w:p>
    <w:p w:rsidR="002811A9" w:rsidRPr="002811A9" w:rsidRDefault="002811A9" w:rsidP="002811A9">
      <w:pPr>
        <w:rPr>
          <w:kern w:val="0"/>
        </w:rPr>
      </w:pPr>
      <w:r>
        <w:rPr>
          <w:noProof/>
          <w:kern w:val="0"/>
        </w:rPr>
        <w:drawing>
          <wp:inline distT="0" distB="0" distL="0" distR="0">
            <wp:extent cx="5314950" cy="2781300"/>
            <wp:effectExtent l="19050" t="0" r="0" b="0"/>
            <wp:docPr id="8" name="图片 8" descr="http://www.stats.gov.cn/tjsj/zxfb/201405/W020140513406655932214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ats.gov.cn/tjsj/zxfb/201405/W020140513406655932214_r75.gif"/>
                    <pic:cNvPicPr>
                      <a:picLocks noChangeAspect="1" noChangeArrowheads="1"/>
                    </pic:cNvPicPr>
                  </pic:nvPicPr>
                  <pic:blipFill>
                    <a:blip r:embed="rId13"/>
                    <a:srcRect/>
                    <a:stretch>
                      <a:fillRect/>
                    </a:stretch>
                  </pic:blipFill>
                  <pic:spPr bwMode="auto">
                    <a:xfrm>
                      <a:off x="0" y="0"/>
                      <a:ext cx="5314950" cy="2781300"/>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kern w:val="0"/>
        </w:rPr>
        <w:t> </w:t>
      </w:r>
    </w:p>
    <w:p w:rsidR="002811A9" w:rsidRPr="002811A9" w:rsidRDefault="002811A9" w:rsidP="002811A9">
      <w:pPr>
        <w:rPr>
          <w:kern w:val="0"/>
        </w:rPr>
      </w:pPr>
      <w:r>
        <w:rPr>
          <w:noProof/>
          <w:kern w:val="0"/>
        </w:rPr>
        <w:lastRenderedPageBreak/>
        <w:drawing>
          <wp:inline distT="0" distB="0" distL="0" distR="0">
            <wp:extent cx="5343525" cy="3048000"/>
            <wp:effectExtent l="19050" t="0" r="9525" b="0"/>
            <wp:docPr id="9" name="图片 9" descr="http://www.stats.gov.cn/tjsj/zxfb/201405/W020140513406655935548_r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ats.gov.cn/tjsj/zxfb/201405/W020140513406655935548_r75.gif"/>
                    <pic:cNvPicPr>
                      <a:picLocks noChangeAspect="1" noChangeArrowheads="1"/>
                    </pic:cNvPicPr>
                  </pic:nvPicPr>
                  <pic:blipFill>
                    <a:blip r:embed="rId14"/>
                    <a:srcRect/>
                    <a:stretch>
                      <a:fillRect/>
                    </a:stretch>
                  </pic:blipFill>
                  <pic:spPr bwMode="auto">
                    <a:xfrm>
                      <a:off x="0" y="0"/>
                      <a:ext cx="5343525" cy="3048000"/>
                    </a:xfrm>
                    <a:prstGeom prst="rect">
                      <a:avLst/>
                    </a:prstGeom>
                    <a:noFill/>
                    <a:ln w="9525">
                      <a:noFill/>
                      <a:miter lim="800000"/>
                      <a:headEnd/>
                      <a:tailEnd/>
                    </a:ln>
                  </pic:spPr>
                </pic:pic>
              </a:graphicData>
            </a:graphic>
          </wp:inline>
        </w:drawing>
      </w:r>
    </w:p>
    <w:p w:rsidR="002811A9" w:rsidRPr="002811A9" w:rsidRDefault="002811A9" w:rsidP="002811A9">
      <w:pPr>
        <w:rPr>
          <w:kern w:val="0"/>
        </w:rPr>
      </w:pPr>
      <w:r w:rsidRPr="002811A9">
        <w:rPr>
          <w:rFonts w:ascii="楷体" w:eastAsia="楷体" w:hint="eastAsia"/>
          <w:b/>
          <w:bCs/>
          <w:kern w:val="0"/>
          <w:bdr w:val="none" w:sz="0" w:space="0" w:color="auto" w:frame="1"/>
        </w:rPr>
        <w:t xml:space="preserve">　　附注</w:t>
      </w: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1、指标解释</w:t>
      </w:r>
    </w:p>
    <w:p w:rsidR="002811A9" w:rsidRPr="002811A9" w:rsidRDefault="002811A9" w:rsidP="002811A9">
      <w:pPr>
        <w:rPr>
          <w:kern w:val="0"/>
        </w:rPr>
      </w:pPr>
      <w:r w:rsidRPr="002811A9">
        <w:rPr>
          <w:rFonts w:ascii="楷体" w:eastAsia="楷体" w:hint="eastAsia"/>
          <w:kern w:val="0"/>
        </w:rPr>
        <w:t xml:space="preserve">　　工业增加值增长速度:即工业增长速度，是用来反映一定时期工业生产物量增减变动程度的指标。利用该指标，可以判断短期工业经济的运行走势，判断经济的景气程度，也是制定和调整经济政策，实施宏观调控的重要参考和依据。</w:t>
      </w: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产品销售率：是销售产值和工业总产值的比率，用来反映工业产品的产销衔接情况。</w:t>
      </w: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出口交货值：是指工业企业交给外贸部门或自营（委托）出口（包括销往香港、澳门、台湾），用外汇价格结算的产品价值，以及外商来样、来料加工、来件装配和补偿贸易等生产的产品价值。在计算出口交货值时，要把外汇价格按交易时的汇率折成人民币计算。</w:t>
      </w: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日均产品产量：是以当月公布的规模以上工业企业总产量除以该月日历天数计算得到。</w:t>
      </w: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产品产量同比增长速度：由于规模以上工业企业范围每年会发生一些变化，按国家统计制度规定，企业在报送当年月度数据时，需同时报送上年同期数。因此，产品产量同比增长速度是以本期公布的规模以上工业企业总产量除以本期同时报送的同期数据计算得到。</w:t>
      </w:r>
    </w:p>
    <w:p w:rsidR="002811A9" w:rsidRPr="002811A9" w:rsidRDefault="002811A9" w:rsidP="002811A9">
      <w:pPr>
        <w:rPr>
          <w:kern w:val="0"/>
        </w:rPr>
      </w:pP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2、统计范围</w:t>
      </w: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从2011年起，规模以上工业企业起点标准由原来的年主营业务收入500万元提高到年主营业务收入2000万元。</w:t>
      </w:r>
    </w:p>
    <w:p w:rsidR="002811A9" w:rsidRPr="002811A9" w:rsidRDefault="002811A9" w:rsidP="002811A9">
      <w:pPr>
        <w:rPr>
          <w:kern w:val="0"/>
        </w:rPr>
      </w:pP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3、调查方法</w:t>
      </w:r>
    </w:p>
    <w:p w:rsidR="002811A9" w:rsidRPr="002811A9" w:rsidRDefault="002811A9" w:rsidP="002811A9">
      <w:pPr>
        <w:rPr>
          <w:kern w:val="0"/>
        </w:rPr>
      </w:pPr>
      <w:r w:rsidRPr="002811A9">
        <w:rPr>
          <w:rFonts w:ascii="楷体" w:eastAsia="楷体" w:hint="eastAsia"/>
          <w:kern w:val="0"/>
        </w:rPr>
        <w:t xml:space="preserve">　　规模以上工业企业工业生产报表按月进行全面调查（1月份数据免报）。</w:t>
      </w:r>
    </w:p>
    <w:p w:rsidR="002811A9" w:rsidRPr="002811A9" w:rsidRDefault="002811A9" w:rsidP="002811A9">
      <w:pPr>
        <w:rPr>
          <w:kern w:val="0"/>
        </w:rPr>
      </w:pP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4、东、中、西部地区划分</w:t>
      </w:r>
    </w:p>
    <w:p w:rsidR="002811A9" w:rsidRPr="002811A9" w:rsidRDefault="002811A9" w:rsidP="002811A9">
      <w:pPr>
        <w:rPr>
          <w:kern w:val="0"/>
        </w:rPr>
      </w:pPr>
      <w:r w:rsidRPr="002811A9">
        <w:rPr>
          <w:rFonts w:ascii="楷体" w:eastAsia="楷体" w:hint="eastAsia"/>
          <w:kern w:val="0"/>
        </w:rPr>
        <w:t xml:space="preserve">　　东部地区包括北京、天津、河北、辽宁、上海、江苏、浙江、福建、山东、广东、海南11个省（市）；中部地区包括山西、吉林、黑龙江、安徽、江西、河南、湖北、湖南8个省；西部地区包括内蒙古、广西、重庆、四川、贵州、云南、西藏、陕西、甘肃、青海、宁夏、新疆12个省（市、自治区）。</w:t>
      </w:r>
    </w:p>
    <w:p w:rsidR="002811A9" w:rsidRPr="002811A9" w:rsidRDefault="002811A9" w:rsidP="002811A9">
      <w:pPr>
        <w:rPr>
          <w:kern w:val="0"/>
        </w:rPr>
      </w:pP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5、行业分类标准</w:t>
      </w: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lastRenderedPageBreak/>
        <w:t xml:space="preserve">　　2012年起，国家统计局执行新的国民经济行业分类标准（GB/T 4754-2011），原来的工业行业大类由39个调整为41个，具体请参见</w:t>
      </w:r>
      <w:hyperlink r:id="rId15" w:history="1">
        <w:r w:rsidRPr="002811A9">
          <w:rPr>
            <w:rFonts w:ascii="楷体" w:eastAsia="楷体" w:hint="eastAsia"/>
            <w:kern w:val="0"/>
          </w:rPr>
          <w:t>http://www.stats.gov.cn/tjsj/tjbz/hyflbz</w:t>
        </w:r>
      </w:hyperlink>
      <w:r w:rsidRPr="002811A9">
        <w:rPr>
          <w:rFonts w:ascii="楷体" w:eastAsia="楷体" w:hint="eastAsia"/>
          <w:kern w:val="0"/>
        </w:rPr>
        <w:t>。</w:t>
      </w:r>
    </w:p>
    <w:p w:rsidR="002811A9" w:rsidRPr="002811A9" w:rsidRDefault="002811A9" w:rsidP="002811A9">
      <w:pPr>
        <w:rPr>
          <w:kern w:val="0"/>
        </w:rPr>
      </w:pP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6、环比数据修订</w:t>
      </w:r>
      <w:r w:rsidRPr="002811A9">
        <w:rPr>
          <w:rFonts w:ascii="楷体" w:eastAsia="楷体" w:hint="eastAsia"/>
          <w:kern w:val="0"/>
        </w:rPr>
        <w:t> </w:t>
      </w:r>
    </w:p>
    <w:p w:rsidR="002811A9" w:rsidRPr="002811A9" w:rsidRDefault="002811A9" w:rsidP="002811A9">
      <w:pPr>
        <w:rPr>
          <w:kern w:val="0"/>
        </w:rPr>
      </w:pPr>
      <w:r w:rsidRPr="002811A9">
        <w:rPr>
          <w:rFonts w:ascii="楷体" w:eastAsia="楷体" w:hint="eastAsia"/>
          <w:kern w:val="0"/>
        </w:rPr>
        <w:t xml:space="preserve">　　根据季节调整模型自动修正结果，对2013年4月至2014年3月份规模以上工业增加值环比增速进行修订。修订结果及2014年4月份环比数据如下：</w:t>
      </w:r>
    </w:p>
    <w:p w:rsidR="002811A9" w:rsidRPr="002811A9" w:rsidRDefault="002811A9" w:rsidP="002811A9">
      <w:pPr>
        <w:rPr>
          <w:kern w:val="0"/>
        </w:rPr>
      </w:pPr>
      <w:r w:rsidRPr="002811A9">
        <w:rPr>
          <w:rFonts w:ascii="楷体" w:eastAsia="楷体" w:hint="eastAsia"/>
          <w:kern w:val="0"/>
        </w:rPr>
        <w:t> </w:t>
      </w:r>
    </w:p>
    <w:tbl>
      <w:tblPr>
        <w:tblW w:w="0" w:type="auto"/>
        <w:jc w:val="center"/>
        <w:tblCellMar>
          <w:left w:w="0" w:type="dxa"/>
          <w:right w:w="0" w:type="dxa"/>
        </w:tblCellMar>
        <w:tblLook w:val="04A0"/>
      </w:tblPr>
      <w:tblGrid>
        <w:gridCol w:w="1890"/>
        <w:gridCol w:w="1890"/>
        <w:gridCol w:w="1890"/>
      </w:tblGrid>
      <w:tr w:rsidR="002811A9" w:rsidRPr="002811A9" w:rsidTr="002811A9">
        <w:trPr>
          <w:trHeight w:val="567"/>
          <w:jc w:val="center"/>
        </w:trPr>
        <w:tc>
          <w:tcPr>
            <w:tcW w:w="1890" w:type="dxa"/>
            <w:tcBorders>
              <w:top w:val="single" w:sz="12" w:space="0" w:color="000000"/>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 </w:t>
            </w:r>
          </w:p>
        </w:tc>
        <w:tc>
          <w:tcPr>
            <w:tcW w:w="1890" w:type="dxa"/>
            <w:tcBorders>
              <w:top w:val="single" w:sz="12" w:space="0" w:color="000000"/>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月份</w:t>
            </w:r>
          </w:p>
        </w:tc>
        <w:tc>
          <w:tcPr>
            <w:tcW w:w="1890" w:type="dxa"/>
            <w:tcBorders>
              <w:top w:val="single" w:sz="12" w:space="0" w:color="000000"/>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kern w:val="0"/>
              </w:rPr>
              <w:t>环比增速（%）</w:t>
            </w:r>
          </w:p>
        </w:tc>
      </w:tr>
      <w:tr w:rsidR="002811A9" w:rsidRPr="002811A9" w:rsidTr="002811A9">
        <w:trPr>
          <w:trHeight w:val="283"/>
          <w:jc w:val="center"/>
        </w:trPr>
        <w:tc>
          <w:tcPr>
            <w:tcW w:w="1890" w:type="dxa"/>
            <w:vMerge w:val="restart"/>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2013年</w:t>
            </w: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4月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0.80</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5月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0.66</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6月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0.69</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7月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0.92</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8月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0.85</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9月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0.71</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10月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0.78</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11月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0.67</w:t>
            </w:r>
          </w:p>
        </w:tc>
      </w:tr>
      <w:tr w:rsidR="002811A9" w:rsidRPr="002811A9" w:rsidTr="002811A9">
        <w:trPr>
          <w:trHeight w:val="283"/>
          <w:jc w:val="center"/>
        </w:trPr>
        <w:tc>
          <w:tcPr>
            <w:tcW w:w="0" w:type="auto"/>
            <w:vMerge/>
            <w:tcBorders>
              <w:top w:val="nil"/>
              <w:left w:val="nil"/>
              <w:bottom w:val="single" w:sz="8"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12月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0.64</w:t>
            </w:r>
          </w:p>
        </w:tc>
      </w:tr>
      <w:tr w:rsidR="002811A9" w:rsidRPr="002811A9" w:rsidTr="002811A9">
        <w:trPr>
          <w:trHeight w:val="283"/>
          <w:jc w:val="center"/>
        </w:trPr>
        <w:tc>
          <w:tcPr>
            <w:tcW w:w="1890" w:type="dxa"/>
            <w:vMerge w:val="restart"/>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2014年</w:t>
            </w: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1月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0.59</w:t>
            </w:r>
          </w:p>
        </w:tc>
      </w:tr>
      <w:tr w:rsidR="002811A9" w:rsidRPr="002811A9" w:rsidTr="002811A9">
        <w:trPr>
          <w:trHeight w:val="283"/>
          <w:jc w:val="center"/>
        </w:trPr>
        <w:tc>
          <w:tcPr>
            <w:tcW w:w="0" w:type="auto"/>
            <w:vMerge/>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2月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0.61</w:t>
            </w:r>
          </w:p>
        </w:tc>
      </w:tr>
      <w:tr w:rsidR="002811A9" w:rsidRPr="002811A9" w:rsidTr="002811A9">
        <w:trPr>
          <w:trHeight w:val="283"/>
          <w:jc w:val="center"/>
        </w:trPr>
        <w:tc>
          <w:tcPr>
            <w:tcW w:w="0" w:type="auto"/>
            <w:vMerge/>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8"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3月</w:t>
            </w:r>
          </w:p>
        </w:tc>
        <w:tc>
          <w:tcPr>
            <w:tcW w:w="1890" w:type="dxa"/>
            <w:tcBorders>
              <w:top w:val="nil"/>
              <w:left w:val="nil"/>
              <w:bottom w:val="single" w:sz="8"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0.80</w:t>
            </w:r>
          </w:p>
        </w:tc>
      </w:tr>
      <w:tr w:rsidR="002811A9" w:rsidRPr="002811A9" w:rsidTr="002811A9">
        <w:trPr>
          <w:trHeight w:val="283"/>
          <w:jc w:val="center"/>
        </w:trPr>
        <w:tc>
          <w:tcPr>
            <w:tcW w:w="0" w:type="auto"/>
            <w:vMerge/>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p>
        </w:tc>
        <w:tc>
          <w:tcPr>
            <w:tcW w:w="1890" w:type="dxa"/>
            <w:tcBorders>
              <w:top w:val="nil"/>
              <w:left w:val="nil"/>
              <w:bottom w:val="single" w:sz="12" w:space="0" w:color="000000"/>
              <w:right w:val="single" w:sz="8" w:space="0" w:color="000000"/>
            </w:tcBorders>
            <w:vAlign w:val="center"/>
            <w:hideMark/>
          </w:tcPr>
          <w:p w:rsidR="002811A9" w:rsidRPr="002811A9" w:rsidRDefault="002811A9" w:rsidP="002811A9">
            <w:pPr>
              <w:rPr>
                <w:kern w:val="0"/>
              </w:rPr>
            </w:pPr>
            <w:r w:rsidRPr="002811A9">
              <w:rPr>
                <w:rFonts w:ascii="楷体" w:eastAsia="楷体" w:hint="eastAsia"/>
                <w:kern w:val="0"/>
              </w:rPr>
              <w:t>4月</w:t>
            </w:r>
          </w:p>
        </w:tc>
        <w:tc>
          <w:tcPr>
            <w:tcW w:w="1890" w:type="dxa"/>
            <w:tcBorders>
              <w:top w:val="nil"/>
              <w:left w:val="nil"/>
              <w:bottom w:val="single" w:sz="12" w:space="0" w:color="000000"/>
              <w:right w:val="nil"/>
            </w:tcBorders>
            <w:vAlign w:val="center"/>
            <w:hideMark/>
          </w:tcPr>
          <w:p w:rsidR="002811A9" w:rsidRPr="002811A9" w:rsidRDefault="002811A9" w:rsidP="002811A9">
            <w:pPr>
              <w:rPr>
                <w:kern w:val="0"/>
              </w:rPr>
            </w:pPr>
            <w:r w:rsidRPr="002811A9">
              <w:rPr>
                <w:rFonts w:ascii="楷体" w:eastAsia="楷体" w:hint="eastAsia"/>
                <w:color w:val="000000"/>
                <w:kern w:val="0"/>
              </w:rPr>
              <w:t>0.82</w:t>
            </w:r>
          </w:p>
        </w:tc>
      </w:tr>
    </w:tbl>
    <w:p w:rsidR="002811A9" w:rsidRPr="002811A9" w:rsidRDefault="002811A9" w:rsidP="002811A9">
      <w:pPr>
        <w:rPr>
          <w:kern w:val="0"/>
        </w:rPr>
      </w:pPr>
      <w:r w:rsidRPr="002811A9">
        <w:rPr>
          <w:rFonts w:ascii="楷体" w:eastAsia="楷体" w:hint="eastAsia"/>
          <w:kern w:val="0"/>
        </w:rPr>
        <w:t> </w:t>
      </w:r>
    </w:p>
    <w:p w:rsidR="0019357E" w:rsidRPr="005761E1" w:rsidRDefault="0019357E" w:rsidP="002811A9"/>
    <w:sectPr w:rsidR="0019357E" w:rsidRPr="005761E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57E" w:rsidRDefault="0019357E" w:rsidP="005761E1">
      <w:r>
        <w:separator/>
      </w:r>
    </w:p>
  </w:endnote>
  <w:endnote w:type="continuationSeparator" w:id="1">
    <w:p w:rsidR="0019357E" w:rsidRDefault="0019357E" w:rsidP="005761E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57E" w:rsidRDefault="0019357E" w:rsidP="005761E1">
      <w:r>
        <w:separator/>
      </w:r>
    </w:p>
  </w:footnote>
  <w:footnote w:type="continuationSeparator" w:id="1">
    <w:p w:rsidR="0019357E" w:rsidRDefault="0019357E" w:rsidP="005761E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761E1"/>
    <w:rsid w:val="0019357E"/>
    <w:rsid w:val="002811A9"/>
    <w:rsid w:val="005761E1"/>
    <w:rsid w:val="00E221D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5761E1"/>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761E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761E1"/>
    <w:rPr>
      <w:sz w:val="18"/>
      <w:szCs w:val="18"/>
    </w:rPr>
  </w:style>
  <w:style w:type="paragraph" w:styleId="a4">
    <w:name w:val="footer"/>
    <w:basedOn w:val="a"/>
    <w:link w:val="Char0"/>
    <w:uiPriority w:val="99"/>
    <w:semiHidden/>
    <w:unhideWhenUsed/>
    <w:rsid w:val="005761E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761E1"/>
    <w:rPr>
      <w:sz w:val="18"/>
      <w:szCs w:val="18"/>
    </w:rPr>
  </w:style>
  <w:style w:type="character" w:customStyle="1" w:styleId="2Char">
    <w:name w:val="标题 2 Char"/>
    <w:basedOn w:val="a0"/>
    <w:link w:val="2"/>
    <w:uiPriority w:val="9"/>
    <w:rsid w:val="005761E1"/>
    <w:rPr>
      <w:rFonts w:ascii="宋体" w:eastAsia="宋体" w:hAnsi="宋体" w:cs="宋体"/>
      <w:b/>
      <w:bCs/>
      <w:kern w:val="0"/>
      <w:sz w:val="36"/>
      <w:szCs w:val="36"/>
    </w:rPr>
  </w:style>
  <w:style w:type="character" w:styleId="a5">
    <w:name w:val="Hyperlink"/>
    <w:basedOn w:val="a0"/>
    <w:uiPriority w:val="99"/>
    <w:semiHidden/>
    <w:unhideWhenUsed/>
    <w:rsid w:val="002811A9"/>
    <w:rPr>
      <w:strike w:val="0"/>
      <w:dstrike w:val="0"/>
      <w:color w:val="333333"/>
      <w:u w:val="none"/>
      <w:effect w:val="none"/>
      <w:bdr w:val="none" w:sz="0" w:space="0" w:color="auto" w:frame="1"/>
    </w:rPr>
  </w:style>
  <w:style w:type="paragraph" w:styleId="a6">
    <w:name w:val="Balloon Text"/>
    <w:basedOn w:val="a"/>
    <w:link w:val="Char1"/>
    <w:uiPriority w:val="99"/>
    <w:semiHidden/>
    <w:unhideWhenUsed/>
    <w:rsid w:val="002811A9"/>
    <w:rPr>
      <w:sz w:val="18"/>
      <w:szCs w:val="18"/>
    </w:rPr>
  </w:style>
  <w:style w:type="character" w:customStyle="1" w:styleId="Char1">
    <w:name w:val="批注框文本 Char"/>
    <w:basedOn w:val="a0"/>
    <w:link w:val="a6"/>
    <w:uiPriority w:val="99"/>
    <w:semiHidden/>
    <w:rsid w:val="002811A9"/>
    <w:rPr>
      <w:sz w:val="18"/>
      <w:szCs w:val="18"/>
    </w:rPr>
  </w:style>
</w:styles>
</file>

<file path=word/webSettings.xml><?xml version="1.0" encoding="utf-8"?>
<w:webSettings xmlns:r="http://schemas.openxmlformats.org/officeDocument/2006/relationships" xmlns:w="http://schemas.openxmlformats.org/wordprocessingml/2006/main">
  <w:divs>
    <w:div w:id="1288120525">
      <w:bodyDiv w:val="1"/>
      <w:marLeft w:val="0"/>
      <w:marRight w:val="0"/>
      <w:marTop w:val="0"/>
      <w:marBottom w:val="0"/>
      <w:divBdr>
        <w:top w:val="none" w:sz="0" w:space="0" w:color="auto"/>
        <w:left w:val="none" w:sz="0" w:space="0" w:color="auto"/>
        <w:bottom w:val="none" w:sz="0" w:space="0" w:color="auto"/>
        <w:right w:val="none" w:sz="0" w:space="0" w:color="auto"/>
      </w:divBdr>
      <w:divsChild>
        <w:div w:id="224414747">
          <w:marLeft w:val="0"/>
          <w:marRight w:val="0"/>
          <w:marTop w:val="0"/>
          <w:marBottom w:val="0"/>
          <w:divBdr>
            <w:top w:val="none" w:sz="0" w:space="0" w:color="auto"/>
            <w:left w:val="none" w:sz="0" w:space="0" w:color="auto"/>
            <w:bottom w:val="none" w:sz="0" w:space="0" w:color="auto"/>
            <w:right w:val="none" w:sz="0" w:space="0" w:color="auto"/>
          </w:divBdr>
          <w:divsChild>
            <w:div w:id="653533950">
              <w:marLeft w:val="0"/>
              <w:marRight w:val="0"/>
              <w:marTop w:val="0"/>
              <w:marBottom w:val="0"/>
              <w:divBdr>
                <w:top w:val="none" w:sz="0" w:space="0" w:color="auto"/>
                <w:left w:val="none" w:sz="0" w:space="0" w:color="auto"/>
                <w:bottom w:val="none" w:sz="0" w:space="0" w:color="auto"/>
                <w:right w:val="none" w:sz="0" w:space="0" w:color="auto"/>
              </w:divBdr>
              <w:divsChild>
                <w:div w:id="21072696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415664059">
      <w:bodyDiv w:val="1"/>
      <w:marLeft w:val="0"/>
      <w:marRight w:val="0"/>
      <w:marTop w:val="0"/>
      <w:marBottom w:val="0"/>
      <w:divBdr>
        <w:top w:val="none" w:sz="0" w:space="0" w:color="auto"/>
        <w:left w:val="none" w:sz="0" w:space="0" w:color="auto"/>
        <w:bottom w:val="none" w:sz="0" w:space="0" w:color="auto"/>
        <w:right w:val="none" w:sz="0" w:space="0" w:color="auto"/>
      </w:divBdr>
      <w:divsChild>
        <w:div w:id="1484733917">
          <w:marLeft w:val="0"/>
          <w:marRight w:val="0"/>
          <w:marTop w:val="0"/>
          <w:marBottom w:val="0"/>
          <w:divBdr>
            <w:top w:val="none" w:sz="0" w:space="0" w:color="auto"/>
            <w:left w:val="none" w:sz="0" w:space="0" w:color="auto"/>
            <w:bottom w:val="none" w:sz="0" w:space="0" w:color="auto"/>
            <w:right w:val="none" w:sz="0" w:space="0" w:color="auto"/>
          </w:divBdr>
          <w:divsChild>
            <w:div w:id="1325546599">
              <w:marLeft w:val="0"/>
              <w:marRight w:val="0"/>
              <w:marTop w:val="0"/>
              <w:marBottom w:val="0"/>
              <w:divBdr>
                <w:top w:val="none" w:sz="0" w:space="0" w:color="auto"/>
                <w:left w:val="none" w:sz="0" w:space="0" w:color="auto"/>
                <w:bottom w:val="none" w:sz="0" w:space="0" w:color="auto"/>
                <w:right w:val="none" w:sz="0" w:space="0" w:color="auto"/>
              </w:divBdr>
              <w:divsChild>
                <w:div w:id="885726489">
                  <w:marLeft w:val="0"/>
                  <w:marRight w:val="0"/>
                  <w:marTop w:val="150"/>
                  <w:marBottom w:val="0"/>
                  <w:divBdr>
                    <w:top w:val="none" w:sz="0" w:space="0" w:color="auto"/>
                    <w:left w:val="none" w:sz="0" w:space="0" w:color="auto"/>
                    <w:bottom w:val="none" w:sz="0" w:space="0" w:color="auto"/>
                    <w:right w:val="none" w:sz="0" w:space="0" w:color="auto"/>
                  </w:divBdr>
                  <w:divsChild>
                    <w:div w:id="50230772">
                      <w:marLeft w:val="0"/>
                      <w:marRight w:val="0"/>
                      <w:marTop w:val="375"/>
                      <w:marBottom w:val="0"/>
                      <w:divBdr>
                        <w:top w:val="none" w:sz="0" w:space="0" w:color="auto"/>
                        <w:left w:val="none" w:sz="0" w:space="0" w:color="auto"/>
                        <w:bottom w:val="none" w:sz="0" w:space="0" w:color="auto"/>
                        <w:right w:val="none" w:sz="0" w:space="0" w:color="auto"/>
                      </w:divBdr>
                      <w:divsChild>
                        <w:div w:id="1479807581">
                          <w:marLeft w:val="0"/>
                          <w:marRight w:val="0"/>
                          <w:marTop w:val="0"/>
                          <w:marBottom w:val="0"/>
                          <w:divBdr>
                            <w:top w:val="none" w:sz="0" w:space="0" w:color="auto"/>
                            <w:left w:val="none" w:sz="0" w:space="0" w:color="auto"/>
                            <w:bottom w:val="none" w:sz="0" w:space="0" w:color="auto"/>
                            <w:right w:val="none" w:sz="0" w:space="0" w:color="auto"/>
                          </w:divBdr>
                          <w:divsChild>
                            <w:div w:id="203622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gif"/><Relationship Id="rId5" Type="http://schemas.openxmlformats.org/officeDocument/2006/relationships/endnotes" Target="endnotes.xml"/><Relationship Id="rId15" Type="http://schemas.openxmlformats.org/officeDocument/2006/relationships/hyperlink" Target="http://www.stats.gov.cn/tjsj/tjbz/hyflbz" TargetMode="External"/><Relationship Id="rId10" Type="http://schemas.openxmlformats.org/officeDocument/2006/relationships/image" Target="media/image5.gif"/><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9.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558</Words>
  <Characters>3185</Characters>
  <Application>Microsoft Office Word</Application>
  <DocSecurity>0</DocSecurity>
  <Lines>26</Lines>
  <Paragraphs>7</Paragraphs>
  <ScaleCrop>false</ScaleCrop>
  <Company>微软中国</Company>
  <LinksUpToDate>false</LinksUpToDate>
  <CharactersWithSpaces>3736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duanqh</dc:creator>
  <cp:keywords/>
  <dc:description/>
  <cp:lastModifiedBy>duanqh</cp:lastModifiedBy>
  <cp:revision>4</cp:revision>
  <dcterms:created xsi:type="dcterms:W3CDTF">2014-05-14T04:43:00Z</dcterms:created>
  <dcterms:modified xsi:type="dcterms:W3CDTF">2014-05-14T04:46:00Z</dcterms:modified>
</cp:coreProperties>
</file>